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0E1C6BA9" w:rsidR="00BC6316" w:rsidRPr="000A4365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Contract is awar</w:t>
      </w:r>
      <w:r w:rsidRPr="000A4365">
        <w:rPr>
          <w:rFonts w:ascii="Times New Roman" w:hAnsi="Times New Roman" w:cs="Times New Roman"/>
          <w:sz w:val="24"/>
          <w:szCs w:val="24"/>
        </w:rPr>
        <w:t xml:space="preserve">ded on behalf of the </w:t>
      </w:r>
      <w:r w:rsidR="00067529" w:rsidRPr="000A4365">
        <w:rPr>
          <w:rFonts w:ascii="Times New Roman" w:hAnsi="Times New Roman" w:cs="Times New Roman"/>
          <w:sz w:val="24"/>
          <w:szCs w:val="24"/>
        </w:rPr>
        <w:t>Oklahoma State Department of Health</w:t>
      </w:r>
      <w:r w:rsidR="001338B3" w:rsidRPr="000A4365">
        <w:rPr>
          <w:rFonts w:ascii="Times New Roman" w:hAnsi="Times New Roman" w:cs="Times New Roman"/>
          <w:sz w:val="24"/>
          <w:szCs w:val="24"/>
        </w:rPr>
        <w:t xml:space="preserve"> for </w:t>
      </w:r>
      <w:r w:rsidR="00067529" w:rsidRPr="000A4365">
        <w:rPr>
          <w:rFonts w:ascii="Times New Roman" w:hAnsi="Times New Roman" w:cs="Times New Roman"/>
          <w:sz w:val="24"/>
          <w:szCs w:val="24"/>
        </w:rPr>
        <w:t>the procurement of the services of a qualified organization with the knowledge and capacity to create Oklahoma specific resources to improve the health of individuals and families impacted by Sickle Cell Disease</w:t>
      </w:r>
      <w:r w:rsidRPr="000A4365">
        <w:rPr>
          <w:rFonts w:ascii="Times New Roman" w:hAnsi="Times New Roman" w:cs="Times New Roman"/>
          <w:sz w:val="24"/>
          <w:szCs w:val="24"/>
        </w:rPr>
        <w:t>.</w:t>
      </w:r>
    </w:p>
    <w:p w14:paraId="4D8BE232" w14:textId="77777777" w:rsidR="00BC6316" w:rsidRPr="000A4365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0A4365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365">
        <w:rPr>
          <w:rFonts w:ascii="Times New Roman" w:hAnsi="Times New Roman" w:cs="Times New Roman"/>
          <w:b/>
          <w:sz w:val="24"/>
          <w:szCs w:val="24"/>
        </w:rPr>
        <w:t>1.</w:t>
      </w:r>
      <w:r w:rsidRPr="000A4365">
        <w:rPr>
          <w:rFonts w:ascii="Times New Roman" w:hAnsi="Times New Roman" w:cs="Times New Roman"/>
          <w:sz w:val="24"/>
          <w:szCs w:val="24"/>
        </w:rPr>
        <w:tab/>
      </w:r>
      <w:r w:rsidRPr="000A4365"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48D88691" w:rsidR="00B5498B" w:rsidRPr="000A4365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A4365">
        <w:rPr>
          <w:rFonts w:ascii="Times New Roman" w:hAnsi="Times New Roman" w:cs="Times New Roman"/>
          <w:sz w:val="24"/>
          <w:szCs w:val="24"/>
        </w:rPr>
        <w:t>The initial Contract</w:t>
      </w:r>
      <w:r w:rsidR="00265CCE" w:rsidRPr="000A4365">
        <w:rPr>
          <w:rFonts w:ascii="Times New Roman" w:hAnsi="Times New Roman" w:cs="Times New Roman"/>
          <w:sz w:val="24"/>
          <w:szCs w:val="24"/>
        </w:rPr>
        <w:t xml:space="preserve"> term</w:t>
      </w:r>
      <w:r w:rsidRPr="000A4365">
        <w:rPr>
          <w:rFonts w:ascii="Times New Roman" w:hAnsi="Times New Roman" w:cs="Times New Roman"/>
          <w:sz w:val="24"/>
          <w:szCs w:val="24"/>
        </w:rPr>
        <w:t xml:space="preserve">, which begins on the effective date of the Contract, is </w:t>
      </w:r>
      <w:r w:rsidR="00067529" w:rsidRPr="000A4365">
        <w:rPr>
          <w:rFonts w:ascii="Times New Roman" w:hAnsi="Times New Roman" w:cs="Times New Roman"/>
          <w:sz w:val="24"/>
          <w:szCs w:val="24"/>
        </w:rPr>
        <w:t>through June 30</w:t>
      </w:r>
      <w:r w:rsidR="00174BB3" w:rsidRPr="000A4365">
        <w:rPr>
          <w:rFonts w:ascii="Times New Roman" w:hAnsi="Times New Roman" w:cs="Times New Roman"/>
          <w:sz w:val="24"/>
          <w:szCs w:val="24"/>
        </w:rPr>
        <w:t>, 2023,</w:t>
      </w:r>
      <w:r w:rsidRPr="000A4365">
        <w:rPr>
          <w:rFonts w:ascii="Times New Roman" w:hAnsi="Times New Roman" w:cs="Times New Roman"/>
          <w:sz w:val="24"/>
          <w:szCs w:val="24"/>
        </w:rPr>
        <w:t xml:space="preserve"> and there </w:t>
      </w:r>
      <w:r w:rsidR="00067529" w:rsidRPr="000A4365">
        <w:rPr>
          <w:rFonts w:ascii="Times New Roman" w:hAnsi="Times New Roman" w:cs="Times New Roman"/>
          <w:sz w:val="24"/>
          <w:szCs w:val="24"/>
        </w:rPr>
        <w:t>is 1</w:t>
      </w:r>
      <w:r w:rsidRPr="000A4365">
        <w:rPr>
          <w:rFonts w:ascii="Times New Roman" w:hAnsi="Times New Roman" w:cs="Times New Roman"/>
          <w:sz w:val="24"/>
          <w:szCs w:val="24"/>
        </w:rPr>
        <w:t xml:space="preserve"> </w:t>
      </w:r>
      <w:r w:rsidR="00067529" w:rsidRPr="000A4365">
        <w:rPr>
          <w:rFonts w:ascii="Times New Roman" w:hAnsi="Times New Roman" w:cs="Times New Roman"/>
          <w:sz w:val="24"/>
          <w:szCs w:val="24"/>
        </w:rPr>
        <w:t>six</w:t>
      </w:r>
      <w:r w:rsidRPr="000A4365">
        <w:rPr>
          <w:rFonts w:ascii="Times New Roman" w:hAnsi="Times New Roman" w:cs="Times New Roman"/>
          <w:sz w:val="24"/>
          <w:szCs w:val="24"/>
        </w:rPr>
        <w:t>-</w:t>
      </w:r>
      <w:r w:rsidR="00067529" w:rsidRPr="000A4365">
        <w:rPr>
          <w:rFonts w:ascii="Times New Roman" w:hAnsi="Times New Roman" w:cs="Times New Roman"/>
          <w:sz w:val="24"/>
          <w:szCs w:val="24"/>
        </w:rPr>
        <w:t>month</w:t>
      </w:r>
      <w:r w:rsidRPr="000A4365">
        <w:rPr>
          <w:rFonts w:ascii="Times New Roman" w:hAnsi="Times New Roman" w:cs="Times New Roman"/>
          <w:sz w:val="24"/>
          <w:szCs w:val="24"/>
        </w:rPr>
        <w:t xml:space="preserve"> option to renew the Contract.  </w:t>
      </w:r>
    </w:p>
    <w:p w14:paraId="1CB917AB" w14:textId="77777777" w:rsidR="00265CCE" w:rsidRPr="000A436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3CEFF1A3" w:rsidR="00265CCE" w:rsidRPr="000A4365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0A4365">
        <w:rPr>
          <w:rFonts w:ascii="Times New Roman" w:hAnsi="Times New Roman" w:cs="Times New Roman"/>
          <w:b/>
          <w:sz w:val="24"/>
          <w:szCs w:val="24"/>
        </w:rPr>
        <w:t>2.</w:t>
      </w:r>
      <w:r w:rsidRPr="000A4365">
        <w:rPr>
          <w:rFonts w:ascii="Times New Roman" w:hAnsi="Times New Roman" w:cs="Times New Roman"/>
          <w:sz w:val="24"/>
          <w:szCs w:val="24"/>
        </w:rPr>
        <w:tab/>
      </w:r>
      <w:r w:rsidR="00067529" w:rsidRPr="000A4365">
        <w:rPr>
          <w:rFonts w:ascii="Times New Roman" w:hAnsi="Times New Roman" w:cs="Times New Roman"/>
          <w:b/>
          <w:bCs/>
          <w:sz w:val="24"/>
          <w:szCs w:val="24"/>
        </w:rPr>
        <w:t>Duties of the Supplier</w:t>
      </w:r>
    </w:p>
    <w:p w14:paraId="502E8DBC" w14:textId="741CA1F6" w:rsidR="00230CBF" w:rsidRPr="000A4365" w:rsidRDefault="00230CBF" w:rsidP="00230CB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 xml:space="preserve">Establish and convene the Oklahoma Sickle Cell Disease Coalition (OSCDC) </w:t>
      </w: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ab/>
        <w:t>The contractor must convene the Oklahoma Sickle Cell Disease Coalition, a multidisciplinary committee comprised of relevant stakeholders charged with characterizing the elements needed to establish a comprehensive system of coordinated sickle cell disease (SCD) health care and support services.</w:t>
      </w:r>
    </w:p>
    <w:p w14:paraId="25003360" w14:textId="555D47B8" w:rsidR="00230CBF" w:rsidRPr="000A4365" w:rsidRDefault="00230CBF" w:rsidP="00230CB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At minimum, the committee shall include:</w:t>
      </w:r>
    </w:p>
    <w:p w14:paraId="13BFA7B2" w14:textId="6F0C16C6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Parents or caregivers of children with sickle cell disease or other hemoglobinopathy</w:t>
      </w:r>
    </w:p>
    <w:p w14:paraId="3A910585" w14:textId="373310EF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Adults with sickle cell disease or other hemoglobinopathy</w:t>
      </w:r>
    </w:p>
    <w:p w14:paraId="688D9F72" w14:textId="3D1D72B9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Medical professional specializing in hemoglobinopathies</w:t>
      </w:r>
    </w:p>
    <w:p w14:paraId="1C2ADA58" w14:textId="2DC6EB24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Pediatrician, Family Practice, or other type of primary care provider</w:t>
      </w:r>
    </w:p>
    <w:p w14:paraId="33071419" w14:textId="433785F1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Member from Department of Human Services</w:t>
      </w:r>
    </w:p>
    <w:p w14:paraId="319ACA6A" w14:textId="441A3B6D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Member from the Oklahoma Health Care Authority</w:t>
      </w:r>
    </w:p>
    <w:p w14:paraId="1A541B5A" w14:textId="61B732C4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Member from the Oklahoma State Department of Health</w:t>
      </w:r>
    </w:p>
    <w:p w14:paraId="27AA132E" w14:textId="5419FC1F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Office of Minority Health and Health Equity</w:t>
      </w:r>
    </w:p>
    <w:p w14:paraId="42AE8A20" w14:textId="03EA0AA8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Office of Screening and Special Services</w:t>
      </w:r>
    </w:p>
    <w:p w14:paraId="3CF5D33A" w14:textId="44A776E5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Representatives from Oklahoma based Sickle Cell Community- Based Organizations and Patient Advocacy Groups</w:t>
      </w:r>
    </w:p>
    <w:p w14:paraId="3DB53D99" w14:textId="6788FAF1" w:rsidR="00230CBF" w:rsidRPr="000A4365" w:rsidRDefault="00230CBF" w:rsidP="00230CB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Suggested members include:</w:t>
      </w:r>
    </w:p>
    <w:p w14:paraId="6D08F524" w14:textId="0D0FE1E5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Researcher or physician from the University of Oklahoma College of Medicine Hematology/Oncology Fellowship Program</w:t>
      </w:r>
    </w:p>
    <w:p w14:paraId="0BB148C3" w14:textId="3559C8B6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Representative from the Oklahoma Bureau of Narcotics &amp; Dangerous Drugs Control’s Prescription Monitoring Program (PMP)</w:t>
      </w:r>
    </w:p>
    <w:p w14:paraId="2B411CDC" w14:textId="5075C2A3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Representatives from practice/research networks Oklahoma Physicians Resource/Research Network (OKPRN), Oklahoma Child Health Research Network (OCHRN), Oklahoma Pharmacist Resource/Research Network (OKPharmNet), Oklahoma Primary Healthcare Improvement Cooperative (OPHIC), Public Health Institute of Oklahoma (PHIO), Oklahoma Primary Healthcare Extension System (OPHES)</w:t>
      </w:r>
    </w:p>
    <w:p w14:paraId="7BFCEA5A" w14:textId="77777777" w:rsidR="00230CBF" w:rsidRPr="000A4365" w:rsidRDefault="00230CBF" w:rsidP="00230CB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Collect, monitor, and disseminate evidence on topics related to SCD care delivery &amp; research</w:t>
      </w:r>
    </w:p>
    <w:p w14:paraId="30B77502" w14:textId="50B8BCDB" w:rsidR="00230CBF" w:rsidRPr="000A4365" w:rsidRDefault="00230CBF" w:rsidP="00230CB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Identify opportunities to develop a compendium of practices and strategies related to improving sickle cell disease support, access to care, and provider education in health systems statewide</w:t>
      </w:r>
    </w:p>
    <w:p w14:paraId="0910A060" w14:textId="5A320F00" w:rsidR="00230CBF" w:rsidRPr="000A4365" w:rsidRDefault="00230CBF" w:rsidP="00230CB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Collect, monitor and distribute educational resources related to SCD best practice data and findings for health care providers who treat pediatric and adult SCD patients in primary and emergency department settings</w:t>
      </w:r>
    </w:p>
    <w:p w14:paraId="5DE543C3" w14:textId="4D764CFD" w:rsidR="00230CBF" w:rsidRPr="000A4365" w:rsidRDefault="00230CBF" w:rsidP="00230CB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Characterize rural and urban barriers to improving health care and health outcomes for individuals living with SCD in Oklahoma</w:t>
      </w:r>
    </w:p>
    <w:p w14:paraId="3F657538" w14:textId="77777777" w:rsidR="00230CBF" w:rsidRPr="000A4365" w:rsidRDefault="00230CBF" w:rsidP="00230CB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Expand or Enhance SCD Advocacy and Awareness Activities</w:t>
      </w:r>
    </w:p>
    <w:p w14:paraId="324EB5F8" w14:textId="4E746585" w:rsidR="00230CBF" w:rsidRPr="000A4365" w:rsidRDefault="00230CBF" w:rsidP="00230CB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Expand or enhance services to support the physical, mental, and social health of SCD patients and families. Examples of activities that may be proposed include:</w:t>
      </w:r>
    </w:p>
    <w:p w14:paraId="10A7AFA8" w14:textId="62677076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Provide clinicians, nurses, allied health professionals, community- based organizations and public health agencies with recommendations and strategies to improve care provided to individuals with sickle cell disease and trait</w:t>
      </w:r>
    </w:p>
    <w:p w14:paraId="0C0A7B3A" w14:textId="35525435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Delivery of trainings to increase understanding of cultural sensitivity, equity and health disparities for providers</w:t>
      </w:r>
    </w:p>
    <w:p w14:paraId="09262695" w14:textId="327539F7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Delivery of community-based outreach activities to increase awareness of psychosocial challenges experienced by SCD patients and families</w:t>
      </w:r>
    </w:p>
    <w:p w14:paraId="17A2D2AF" w14:textId="563D81DC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Provide referrals to agencies and community-based organizations that assist with delivery of support services and self-care management in Oklahoma</w:t>
      </w:r>
    </w:p>
    <w:p w14:paraId="5C795206" w14:textId="10ABB98E" w:rsidR="00230CBF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Provide referrals for counseling and mental health services</w:t>
      </w:r>
    </w:p>
    <w:p w14:paraId="39CF038E" w14:textId="26FA2DE4" w:rsidR="00035123" w:rsidRPr="000A4365" w:rsidRDefault="00230CBF" w:rsidP="00230CBF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A4365">
        <w:rPr>
          <w:rFonts w:ascii="Times New Roman" w:hAnsi="Times New Roman" w:cs="Times New Roman"/>
          <w:b w:val="0"/>
          <w:bCs/>
          <w:sz w:val="24"/>
          <w:szCs w:val="24"/>
        </w:rPr>
        <w:t>Provide transition education and peer counseling for patients and providers</w:t>
      </w:r>
    </w:p>
    <w:p w14:paraId="1B2A6B42" w14:textId="77777777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C3ACF"/>
    <w:multiLevelType w:val="hybridMultilevel"/>
    <w:tmpl w:val="06A408EC"/>
    <w:lvl w:ilvl="0" w:tplc="780E227C">
      <w:start w:val="1"/>
      <w:numFmt w:val="decimal"/>
      <w:lvlText w:val="%1."/>
      <w:lvlJc w:val="left"/>
      <w:pPr>
        <w:ind w:left="144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B510B758">
      <w:start w:val="1"/>
      <w:numFmt w:val="lowerRoman"/>
      <w:lvlText w:val="%3."/>
      <w:lvlJc w:val="right"/>
      <w:pPr>
        <w:ind w:left="2880" w:hanging="180"/>
      </w:pPr>
      <w:rPr>
        <w:b w:val="0"/>
        <w:bCs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67529"/>
    <w:rsid w:val="00073E78"/>
    <w:rsid w:val="000A0E71"/>
    <w:rsid w:val="000A4365"/>
    <w:rsid w:val="000E01A4"/>
    <w:rsid w:val="000F0234"/>
    <w:rsid w:val="001142CF"/>
    <w:rsid w:val="001338B3"/>
    <w:rsid w:val="00174BB3"/>
    <w:rsid w:val="00230CBF"/>
    <w:rsid w:val="00265CCE"/>
    <w:rsid w:val="004308BE"/>
    <w:rsid w:val="004674F9"/>
    <w:rsid w:val="004800C7"/>
    <w:rsid w:val="004E531F"/>
    <w:rsid w:val="005845CC"/>
    <w:rsid w:val="00647E6C"/>
    <w:rsid w:val="006C1F9B"/>
    <w:rsid w:val="00701F22"/>
    <w:rsid w:val="00717C37"/>
    <w:rsid w:val="007B7B06"/>
    <w:rsid w:val="007E1DEC"/>
    <w:rsid w:val="008306D1"/>
    <w:rsid w:val="008529D9"/>
    <w:rsid w:val="008B50BD"/>
    <w:rsid w:val="008C537F"/>
    <w:rsid w:val="008E16D6"/>
    <w:rsid w:val="00907D4F"/>
    <w:rsid w:val="00942280"/>
    <w:rsid w:val="009E3E48"/>
    <w:rsid w:val="009F19F9"/>
    <w:rsid w:val="00A0667D"/>
    <w:rsid w:val="00A611B3"/>
    <w:rsid w:val="00AC7D83"/>
    <w:rsid w:val="00B5498B"/>
    <w:rsid w:val="00B5785F"/>
    <w:rsid w:val="00B76599"/>
    <w:rsid w:val="00BC6316"/>
    <w:rsid w:val="00BF3007"/>
    <w:rsid w:val="00C7771A"/>
    <w:rsid w:val="00CA6FAF"/>
    <w:rsid w:val="00D652D1"/>
    <w:rsid w:val="00DA68B5"/>
    <w:rsid w:val="00DD2A37"/>
    <w:rsid w:val="00DE0AA1"/>
    <w:rsid w:val="00E15CE6"/>
    <w:rsid w:val="00E15F3F"/>
    <w:rsid w:val="00F2737C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6095B-E510-4B1E-911D-6FE5D6489E7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aec6b55d-3de3-4884-82c9-9045bd390d40"/>
    <ds:schemaRef ds:uri="http://purl.org/dc/elements/1.1/"/>
    <ds:schemaRef ds:uri="http://schemas.openxmlformats.org/package/2006/metadata/core-properties"/>
    <ds:schemaRef ds:uri="http://purl.org/dc/dcmitype/"/>
    <ds:schemaRef ds:uri="2616b61c-01e3-420e-954d-f9606dbef89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Kimberley Coulter</cp:lastModifiedBy>
  <cp:revision>3</cp:revision>
  <cp:lastPrinted>2020-08-31T17:24:00Z</cp:lastPrinted>
  <dcterms:created xsi:type="dcterms:W3CDTF">2023-01-24T17:17:00Z</dcterms:created>
  <dcterms:modified xsi:type="dcterms:W3CDTF">2023-01-24T17:31:00Z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