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8"/>
        <w:gridCol w:w="346"/>
        <w:gridCol w:w="903"/>
        <w:gridCol w:w="1206"/>
        <w:gridCol w:w="1761"/>
        <w:gridCol w:w="1279"/>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13D3A390" w:rsidR="00977E0D" w:rsidRDefault="00940003" w:rsidP="00680721">
            <w:pPr>
              <w:spacing w:beforeLines="50" w:before="120"/>
            </w:pPr>
            <w:r>
              <w:t>6/8/2022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67686F59" w:rsidR="00977E0D" w:rsidRDefault="00940003" w:rsidP="00680721">
            <w:pPr>
              <w:spacing w:beforeLines="50" w:before="120"/>
            </w:pPr>
            <w:r>
              <w:t>8300001197</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2D61597C" w:rsidR="00977E0D" w:rsidRDefault="00940003" w:rsidP="00680721">
            <w:pPr>
              <w:spacing w:beforeLines="50" w:before="120"/>
            </w:pPr>
            <w:r>
              <w:t>8300024551</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2A42FDA0" w:rsidR="00977E0D" w:rsidRDefault="007A3318" w:rsidP="00680721">
            <w:pPr>
              <w:spacing w:beforeLines="50" w:before="120"/>
            </w:pPr>
            <w:r>
              <w:t>2</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114C87ED" w:rsidR="003A36FF" w:rsidRDefault="00940003"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5627D8">
              <w:fldChar w:fldCharType="separate"/>
            </w:r>
            <w:r>
              <w:fldChar w:fldCharType="end"/>
            </w:r>
            <w:bookmarkEnd w:id="0"/>
            <w:r w:rsidR="007C0AF0">
              <w:t xml:space="preserve"> No</w:t>
            </w:r>
            <w:r w:rsidR="003A36FF">
              <w:t xml:space="preserve"> </w:t>
            </w:r>
          </w:p>
        </w:tc>
        <w:tc>
          <w:tcPr>
            <w:tcW w:w="1213" w:type="dxa"/>
            <w:vAlign w:val="bottom"/>
          </w:tcPr>
          <w:p w14:paraId="758BC95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5627D8">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EB86581"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31AB73D"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47947685" w:rsidR="00001ACA" w:rsidRDefault="002E7E29" w:rsidP="00680721">
            <w:pPr>
              <w:spacing w:beforeLines="50" w:before="120"/>
            </w:pPr>
            <w:r>
              <w:t>Teresa Terry</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3054FA32" w:rsidR="00001ACA" w:rsidRDefault="00001ACA" w:rsidP="00001ACA">
            <w:pPr>
              <w:spacing w:beforeLines="50" w:before="120"/>
            </w:pPr>
            <w:r>
              <w:t xml:space="preserve">(405) </w:t>
            </w:r>
            <w:r w:rsidR="002E7E29">
              <w:t>521-</w:t>
            </w:r>
            <w:r w:rsidR="00C469AE">
              <w:t>6679</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72F90D97" w:rsidR="00001ACA" w:rsidRDefault="002E7E29" w:rsidP="00680721">
            <w:pPr>
              <w:spacing w:beforeLines="50" w:before="120"/>
            </w:pPr>
            <w:r>
              <w:t>Teresa.terry</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proofErr w:type="gramStart"/>
            <w:r w:rsidRPr="00D16FC3">
              <w:t>E-Mail  Address</w:t>
            </w:r>
            <w:proofErr w:type="gramEnd"/>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1B90B05F"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r w:rsidR="00940003">
              <w:t>5/31/2022</w:t>
            </w:r>
            <w:r>
              <w:t>. All questions and procurement/agency responses are detailed below:</w:t>
            </w:r>
          </w:p>
          <w:p w14:paraId="39ABE703" w14:textId="1964B4C1" w:rsidR="001608C3" w:rsidRDefault="00940003" w:rsidP="005627D8">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5343EF18" w14:textId="77777777" w:rsidR="005627D8" w:rsidRDefault="005627D8" w:rsidP="005627D8">
            <w:pPr>
              <w:pStyle w:val="xxmsolistparagraph"/>
              <w:ind w:left="720" w:hanging="360"/>
              <w:rPr>
                <w:rFonts w:ascii="Calibri" w:hAnsi="Calibri" w:cs="Calibri"/>
                <w:sz w:val="22"/>
                <w:szCs w:val="22"/>
              </w:rPr>
            </w:pPr>
            <w:r>
              <w:rPr>
                <w:rFonts w:ascii="Calibri" w:hAnsi="Calibri" w:cs="Calibri"/>
                <w:sz w:val="22"/>
                <w:szCs w:val="22"/>
              </w:rPr>
              <w:t>.</w:t>
            </w:r>
            <w:r>
              <w:rPr>
                <w:sz w:val="14"/>
                <w:szCs w:val="14"/>
              </w:rPr>
              <w:t xml:space="preserve">       </w:t>
            </w:r>
            <w:r>
              <w:rPr>
                <w:rFonts w:ascii="Calibri" w:hAnsi="Calibri" w:cs="Calibri"/>
                <w:sz w:val="22"/>
                <w:szCs w:val="22"/>
              </w:rPr>
              <w:t>The solicitation describes a one-year award with multiple non-compete renewal year options. The award amount is presented as a maximum of $5 million. Question #13 in the Q&amp;A asks if the full award (implying $5M) could be granted in year one and then renewed two more times (implying $5m each subsequent year). The answer provided was “YES.” However, question #15 asks if the bid amount is $5m per year or total and the answer provided is total over a 3-year period. These two responses seem to contradict one another.   </w:t>
            </w:r>
            <w:r>
              <w:rPr>
                <w:rFonts w:ascii="Calibri" w:hAnsi="Calibri" w:cs="Calibri"/>
                <w:color w:val="C82613"/>
                <w:sz w:val="22"/>
                <w:szCs w:val="22"/>
              </w:rPr>
              <w:t>​Yes, the minimum bid of $300,000 and maximum bid of $5,000,000 is over a three (3) year period. </w:t>
            </w:r>
          </w:p>
          <w:p w14:paraId="70385464" w14:textId="77777777" w:rsidR="005627D8" w:rsidRDefault="005627D8" w:rsidP="005627D8">
            <w:pPr>
              <w:pStyle w:val="xxmsolistparagraph"/>
              <w:ind w:left="720"/>
              <w:rPr>
                <w:rFonts w:ascii="Calibri" w:hAnsi="Calibri" w:cs="Calibri"/>
                <w:sz w:val="22"/>
                <w:szCs w:val="22"/>
              </w:rPr>
            </w:pPr>
            <w:r>
              <w:rPr>
                <w:rFonts w:ascii="Calibri" w:hAnsi="Calibri" w:cs="Calibri"/>
                <w:sz w:val="22"/>
                <w:szCs w:val="22"/>
              </w:rPr>
              <w:t> </w:t>
            </w:r>
          </w:p>
          <w:p w14:paraId="3C0A7704" w14:textId="77777777" w:rsidR="005627D8" w:rsidRDefault="005627D8" w:rsidP="005627D8">
            <w:pPr>
              <w:numPr>
                <w:ilvl w:val="0"/>
                <w:numId w:val="10"/>
              </w:numPr>
              <w:overflowPunct/>
              <w:autoSpaceDE/>
              <w:autoSpaceDN/>
              <w:adjustRightInd/>
              <w:textAlignment w:val="auto"/>
              <w:rPr>
                <w:rFonts w:ascii="Calibri" w:hAnsi="Calibri" w:cs="Calibri"/>
                <w:sz w:val="22"/>
                <w:szCs w:val="22"/>
              </w:rPr>
            </w:pPr>
            <w:r>
              <w:rPr>
                <w:rFonts w:ascii="Calibri" w:hAnsi="Calibri" w:cs="Calibri"/>
                <w:sz w:val="22"/>
                <w:szCs w:val="22"/>
              </w:rPr>
              <w:t xml:space="preserve">Eligibility to apply is limited to only 501(c)3 organizations (i.e., only 501(c)3 organizations may be the Supplier). Question #1 asks what </w:t>
            </w:r>
            <w:proofErr w:type="gramStart"/>
            <w:r>
              <w:rPr>
                <w:rFonts w:ascii="Calibri" w:hAnsi="Calibri" w:cs="Calibri"/>
                <w:sz w:val="22"/>
                <w:szCs w:val="22"/>
              </w:rPr>
              <w:t>are the exclusions regarding expenses for reimbursement</w:t>
            </w:r>
            <w:proofErr w:type="gramEnd"/>
            <w:r>
              <w:rPr>
                <w:rFonts w:ascii="Calibri" w:hAnsi="Calibri" w:cs="Calibri"/>
                <w:sz w:val="22"/>
                <w:szCs w:val="22"/>
              </w:rPr>
              <w:t xml:space="preserve">. The answer provided is construction, building rehab, and land purchase. “All other expenditures would need to be considered by OKDHS on an individual basis.” Additionally in </w:t>
            </w:r>
            <w:proofErr w:type="spellStart"/>
            <w:r>
              <w:rPr>
                <w:rFonts w:ascii="Calibri" w:hAnsi="Calibri" w:cs="Calibri"/>
                <w:sz w:val="22"/>
                <w:szCs w:val="22"/>
              </w:rPr>
              <w:t>q&amp;a</w:t>
            </w:r>
            <w:proofErr w:type="spellEnd"/>
            <w:r>
              <w:rPr>
                <w:rFonts w:ascii="Calibri" w:hAnsi="Calibri" w:cs="Calibri"/>
                <w:sz w:val="22"/>
                <w:szCs w:val="22"/>
              </w:rPr>
              <w:t xml:space="preserve"> #5, the answer provided says it is ok to provide stipends to coordinators. Stipends can be provided through a contract (1099) and not employment (W2 status). Additionally, the solicitation does not state that TANF funds cannot go to non-501(c)3 organizations. Because funding can be used to purchase supplies, equipment, and contracted personnel (stipends to coordinators) it makes sense that TANF dollars may be used to purchase goods and services from non-501(c)3 organizations. However, </w:t>
            </w:r>
            <w:proofErr w:type="spellStart"/>
            <w:r>
              <w:rPr>
                <w:rFonts w:ascii="Calibri" w:hAnsi="Calibri" w:cs="Calibri"/>
                <w:sz w:val="22"/>
                <w:szCs w:val="22"/>
              </w:rPr>
              <w:t>q&amp;a</w:t>
            </w:r>
            <w:proofErr w:type="spellEnd"/>
            <w:r>
              <w:rPr>
                <w:rFonts w:ascii="Calibri" w:hAnsi="Calibri" w:cs="Calibri"/>
                <w:sz w:val="22"/>
                <w:szCs w:val="22"/>
              </w:rPr>
              <w:t xml:space="preserve"> #6 asks if a grantee (Supplier) can subcontract with local school districts and city county health departments (</w:t>
            </w:r>
            <w:proofErr w:type="gramStart"/>
            <w:r>
              <w:rPr>
                <w:rFonts w:ascii="Calibri" w:hAnsi="Calibri" w:cs="Calibri"/>
                <w:sz w:val="22"/>
                <w:szCs w:val="22"/>
              </w:rPr>
              <w:t>i.e.</w:t>
            </w:r>
            <w:proofErr w:type="gramEnd"/>
            <w:r>
              <w:rPr>
                <w:rFonts w:ascii="Calibri" w:hAnsi="Calibri" w:cs="Calibri"/>
                <w:sz w:val="22"/>
                <w:szCs w:val="22"/>
              </w:rPr>
              <w:t xml:space="preserve"> non-501(c)3 organizations)? The answer </w:t>
            </w:r>
            <w:proofErr w:type="gramStart"/>
            <w:r>
              <w:rPr>
                <w:rFonts w:ascii="Calibri" w:hAnsi="Calibri" w:cs="Calibri"/>
                <w:sz w:val="22"/>
                <w:szCs w:val="22"/>
              </w:rPr>
              <w:t>says</w:t>
            </w:r>
            <w:proofErr w:type="gramEnd"/>
            <w:r>
              <w:rPr>
                <w:rFonts w:ascii="Calibri" w:hAnsi="Calibri" w:cs="Calibri"/>
                <w:sz w:val="22"/>
                <w:szCs w:val="22"/>
              </w:rPr>
              <w:t xml:space="preserve"> “the </w:t>
            </w:r>
            <w:r>
              <w:rPr>
                <w:rFonts w:ascii="Calibri" w:hAnsi="Calibri" w:cs="Calibri"/>
                <w:sz w:val="22"/>
                <w:szCs w:val="22"/>
              </w:rPr>
              <w:lastRenderedPageBreak/>
              <w:t>solicitation requires 501(c)3 status,” implying a supplier may not pay for contracted services or goods. This seems to contradict the previous answers and solicitation information.</w:t>
            </w:r>
          </w:p>
          <w:p w14:paraId="7884A380" w14:textId="77777777" w:rsidR="005627D8" w:rsidRDefault="005627D8" w:rsidP="005627D8">
            <w:pPr>
              <w:pStyle w:val="xmsolistparagraph"/>
              <w:ind w:left="720"/>
              <w:rPr>
                <w:rFonts w:ascii="Calibri" w:hAnsi="Calibri" w:cs="Calibri"/>
                <w:sz w:val="22"/>
                <w:szCs w:val="22"/>
              </w:rPr>
            </w:pPr>
            <w:r>
              <w:rPr>
                <w:rFonts w:ascii="Calibri" w:hAnsi="Calibri" w:cs="Calibri"/>
                <w:sz w:val="22"/>
                <w:szCs w:val="22"/>
              </w:rPr>
              <w:t> </w:t>
            </w:r>
            <w:r>
              <w:rPr>
                <w:rFonts w:ascii="Calibri" w:hAnsi="Calibri" w:cs="Calibri"/>
                <w:color w:val="C82613"/>
                <w:sz w:val="22"/>
                <w:szCs w:val="22"/>
              </w:rPr>
              <w:t xml:space="preserve">​As the question asked if only 501 c3 entities could apply, the answer was yes.   However, the 501 c 3 entity may have to purchase supplies from a retailer that is not a 501 c3 entity.  The intent of this solicitation is that </w:t>
            </w:r>
            <w:proofErr w:type="gramStart"/>
            <w:r>
              <w:rPr>
                <w:rFonts w:ascii="Calibri" w:hAnsi="Calibri" w:cs="Calibri"/>
                <w:color w:val="C82613"/>
                <w:sz w:val="22"/>
                <w:szCs w:val="22"/>
              </w:rPr>
              <w:t>the  501</w:t>
            </w:r>
            <w:proofErr w:type="gramEnd"/>
            <w:r>
              <w:rPr>
                <w:rFonts w:ascii="Calibri" w:hAnsi="Calibri" w:cs="Calibri"/>
                <w:color w:val="C82613"/>
                <w:sz w:val="22"/>
                <w:szCs w:val="22"/>
              </w:rPr>
              <w:t xml:space="preserve"> c3 entity receiving Youth Support TANF funding  will be the entity providing the program services. Therefore, any subcontracted services will require prior </w:t>
            </w:r>
            <w:proofErr w:type="gramStart"/>
            <w:r>
              <w:rPr>
                <w:rFonts w:ascii="Calibri" w:hAnsi="Calibri" w:cs="Calibri"/>
                <w:color w:val="C82613"/>
                <w:sz w:val="22"/>
                <w:szCs w:val="22"/>
              </w:rPr>
              <w:t>written  approval</w:t>
            </w:r>
            <w:proofErr w:type="gramEnd"/>
            <w:r>
              <w:rPr>
                <w:rFonts w:ascii="Calibri" w:hAnsi="Calibri" w:cs="Calibri"/>
                <w:color w:val="C82613"/>
                <w:sz w:val="22"/>
                <w:szCs w:val="22"/>
              </w:rPr>
              <w:t xml:space="preserve"> from OKDHS.</w:t>
            </w:r>
          </w:p>
          <w:p w14:paraId="1381578B" w14:textId="77777777" w:rsidR="005627D8" w:rsidRDefault="005627D8" w:rsidP="005627D8">
            <w:pPr>
              <w:pStyle w:val="xmsonormal"/>
              <w:rPr>
                <w:rFonts w:ascii="Calibri" w:hAnsi="Calibri" w:cs="Calibri"/>
                <w:sz w:val="22"/>
                <w:szCs w:val="22"/>
              </w:rPr>
            </w:pPr>
            <w:r>
              <w:rPr>
                <w:rFonts w:ascii="Calibri" w:hAnsi="Calibri" w:cs="Calibri"/>
                <w:sz w:val="22"/>
                <w:szCs w:val="22"/>
              </w:rPr>
              <w:t> </w:t>
            </w:r>
          </w:p>
          <w:p w14:paraId="640834A7" w14:textId="77777777" w:rsidR="005627D8" w:rsidRDefault="005627D8" w:rsidP="005627D8">
            <w:pPr>
              <w:pStyle w:val="xmsonormal"/>
              <w:rPr>
                <w:rFonts w:ascii="Calibri" w:hAnsi="Calibri" w:cs="Calibri"/>
                <w:sz w:val="22"/>
                <w:szCs w:val="22"/>
              </w:rPr>
            </w:pPr>
            <w:r>
              <w:rPr>
                <w:rFonts w:ascii="Calibri" w:hAnsi="Calibri" w:cs="Calibri"/>
                <w:sz w:val="22"/>
                <w:szCs w:val="22"/>
              </w:rPr>
              <w:t> </w:t>
            </w:r>
          </w:p>
          <w:p w14:paraId="477716EC" w14:textId="77777777" w:rsidR="005627D8" w:rsidRDefault="005627D8" w:rsidP="005627D8">
            <w:pPr>
              <w:shd w:val="clear" w:color="auto" w:fill="FFFFFF"/>
            </w:pPr>
          </w:p>
          <w:p w14:paraId="15752632" w14:textId="77777777" w:rsidR="00162321" w:rsidRDefault="00162321" w:rsidP="00162321">
            <w:pPr>
              <w:spacing w:beforeLines="50" w:before="120"/>
            </w:pPr>
          </w:p>
          <w:p w14:paraId="704B2E48" w14:textId="77777777" w:rsidR="001608C3" w:rsidRPr="00E71818" w:rsidRDefault="001608C3" w:rsidP="00940003">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4AF68" w14:textId="77777777" w:rsidR="008D2CCB" w:rsidRDefault="008D2CCB">
      <w:r>
        <w:separator/>
      </w:r>
    </w:p>
  </w:endnote>
  <w:endnote w:type="continuationSeparator" w:id="0">
    <w:p w14:paraId="0C9AD688" w14:textId="77777777" w:rsidR="008D2CCB" w:rsidRDefault="008D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0B7EE" w14:textId="77777777" w:rsidR="008D2CCB" w:rsidRDefault="008D2CCB">
      <w:r>
        <w:separator/>
      </w:r>
    </w:p>
  </w:footnote>
  <w:footnote w:type="continuationSeparator" w:id="0">
    <w:p w14:paraId="1E92F21E" w14:textId="77777777" w:rsidR="008D2CCB" w:rsidRDefault="008D2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B612E"/>
    <w:multiLevelType w:val="hybridMultilevel"/>
    <w:tmpl w:val="491AC9F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DAE4870"/>
    <w:multiLevelType w:val="multilevel"/>
    <w:tmpl w:val="89B45B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A2817C0"/>
    <w:multiLevelType w:val="hybridMultilevel"/>
    <w:tmpl w:val="740EBE28"/>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B05A9A"/>
    <w:multiLevelType w:val="multilevel"/>
    <w:tmpl w:val="105E2F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C1D0C30"/>
    <w:multiLevelType w:val="multilevel"/>
    <w:tmpl w:val="8B04AFC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9421BC4"/>
    <w:multiLevelType w:val="multilevel"/>
    <w:tmpl w:val="EAB237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0"/>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4"/>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27D8"/>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A3318"/>
    <w:rsid w:val="007C0AF0"/>
    <w:rsid w:val="007D27C1"/>
    <w:rsid w:val="007E4290"/>
    <w:rsid w:val="007F4C58"/>
    <w:rsid w:val="00831F58"/>
    <w:rsid w:val="008465B3"/>
    <w:rsid w:val="00846D73"/>
    <w:rsid w:val="00867F8C"/>
    <w:rsid w:val="00876736"/>
    <w:rsid w:val="008A7E98"/>
    <w:rsid w:val="008C1266"/>
    <w:rsid w:val="008C227A"/>
    <w:rsid w:val="008D2CCB"/>
    <w:rsid w:val="008D2E53"/>
    <w:rsid w:val="008F7F4F"/>
    <w:rsid w:val="00940003"/>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69AE"/>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940003"/>
    <w:pPr>
      <w:overflowPunct/>
      <w:autoSpaceDE/>
      <w:autoSpaceDN/>
      <w:adjustRightInd/>
      <w:textAlignment w:val="auto"/>
    </w:pPr>
    <w:rPr>
      <w:rFonts w:ascii="Times New Roman" w:eastAsiaTheme="minorHAnsi" w:hAnsi="Times New Roman" w:cs="Times New Roman"/>
      <w:sz w:val="24"/>
      <w:szCs w:val="24"/>
    </w:rPr>
  </w:style>
  <w:style w:type="paragraph" w:customStyle="1" w:styleId="xmsonormal">
    <w:name w:val="x_msonormal"/>
    <w:basedOn w:val="Normal"/>
    <w:uiPriority w:val="99"/>
    <w:rsid w:val="005627D8"/>
    <w:pPr>
      <w:overflowPunct/>
      <w:autoSpaceDE/>
      <w:autoSpaceDN/>
      <w:adjustRightInd/>
      <w:textAlignment w:val="auto"/>
    </w:pPr>
    <w:rPr>
      <w:rFonts w:ascii="Times New Roman" w:eastAsiaTheme="minorHAnsi" w:hAnsi="Times New Roman" w:cs="Times New Roman"/>
      <w:sz w:val="24"/>
      <w:szCs w:val="24"/>
    </w:rPr>
  </w:style>
  <w:style w:type="paragraph" w:customStyle="1" w:styleId="xxmsolistparagraph">
    <w:name w:val="x_xmsolistparagraph"/>
    <w:basedOn w:val="Normal"/>
    <w:uiPriority w:val="99"/>
    <w:rsid w:val="005627D8"/>
    <w:pPr>
      <w:overflowPunct/>
      <w:autoSpaceDE/>
      <w:autoSpaceDN/>
      <w:adjustRightInd/>
      <w:textAlignment w:val="auto"/>
    </w:pPr>
    <w:rPr>
      <w:rFonts w:ascii="Times New Roman" w:eastAsiaTheme="minorHAnsi" w:hAnsi="Times New Roman" w:cs="Times New Roman"/>
      <w:sz w:val="24"/>
      <w:szCs w:val="24"/>
    </w:rPr>
  </w:style>
  <w:style w:type="paragraph" w:customStyle="1" w:styleId="xmsolistparagraph">
    <w:name w:val="x_msolistparagraph"/>
    <w:basedOn w:val="Normal"/>
    <w:uiPriority w:val="99"/>
    <w:rsid w:val="005627D8"/>
    <w:pPr>
      <w:overflowPunct/>
      <w:autoSpaceDE/>
      <w:autoSpaceDN/>
      <w:adjustRightInd/>
      <w:textAlignment w:val="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10600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630</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3</cp:revision>
  <cp:lastPrinted>2008-12-08T14:07:00Z</cp:lastPrinted>
  <dcterms:created xsi:type="dcterms:W3CDTF">2022-06-16T13:42:00Z</dcterms:created>
  <dcterms:modified xsi:type="dcterms:W3CDTF">2022-06-16T13:45:00Z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