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669" w:rsidR="00EB1834" w:rsidP="00EB1834" w:rsidRDefault="00EB1834" w14:paraId="19DA0AA0" w14:textId="66B950FA">
      <w:pPr>
        <w:spacing w:after="0" w:line="240" w:lineRule="auto"/>
        <w:jc w:val="center"/>
        <w:rPr>
          <w:rFonts w:ascii="Barlow" w:hAnsi="Barlow" w:cs="Arial"/>
          <w:b/>
          <w:bCs/>
          <w:sz w:val="28"/>
          <w:szCs w:val="28"/>
        </w:rPr>
      </w:pPr>
      <w:r w:rsidRPr="00195669">
        <w:rPr>
          <w:rFonts w:ascii="Barlow" w:hAnsi="Barlow" w:cs="Arial"/>
          <w:b/>
          <w:bCs/>
          <w:sz w:val="28"/>
          <w:szCs w:val="28"/>
        </w:rPr>
        <w:t>A</w:t>
      </w:r>
      <w:r w:rsidR="00693BB7">
        <w:rPr>
          <w:rFonts w:ascii="Barlow" w:hAnsi="Barlow" w:cs="Arial"/>
          <w:b/>
          <w:bCs/>
          <w:sz w:val="28"/>
          <w:szCs w:val="28"/>
        </w:rPr>
        <w:t>ttachment</w:t>
      </w:r>
      <w:r w:rsidRPr="00195669">
        <w:rPr>
          <w:rFonts w:ascii="Barlow" w:hAnsi="Barlow" w:cs="Arial"/>
          <w:b/>
          <w:bCs/>
          <w:sz w:val="28"/>
          <w:szCs w:val="28"/>
        </w:rPr>
        <w:t xml:space="preserve"> </w:t>
      </w:r>
      <w:r w:rsidR="004C6B98">
        <w:rPr>
          <w:rFonts w:ascii="Barlow" w:hAnsi="Barlow" w:cs="Arial"/>
          <w:b/>
          <w:bCs/>
          <w:sz w:val="28"/>
          <w:szCs w:val="28"/>
        </w:rPr>
        <w:t>F</w:t>
      </w:r>
    </w:p>
    <w:p w:rsidR="00EB1834" w:rsidP="00EB1834" w:rsidRDefault="00D97807" w14:paraId="5CD6555E" w14:textId="52C78DFE">
      <w:pPr>
        <w:spacing w:after="120" w:line="240" w:lineRule="auto"/>
        <w:jc w:val="center"/>
        <w:rPr>
          <w:rFonts w:ascii="Barlow" w:hAnsi="Barlow" w:cs="Arial"/>
          <w:b/>
          <w:bCs/>
          <w:sz w:val="28"/>
          <w:szCs w:val="28"/>
        </w:rPr>
      </w:pPr>
      <w:r>
        <w:rPr>
          <w:rFonts w:ascii="Barlow" w:hAnsi="Barlow" w:cs="Arial"/>
          <w:b/>
          <w:bCs/>
          <w:sz w:val="28"/>
          <w:szCs w:val="28"/>
        </w:rPr>
        <w:t>PROTEST INFORMATION</w:t>
      </w:r>
    </w:p>
    <w:p w:rsidR="00893789" w:rsidP="00893789" w:rsidRDefault="00893789" w14:paraId="20B39BE3" w14:textId="77777777">
      <w:pPr>
        <w:spacing w:after="0"/>
        <w:rPr>
          <w:rFonts w:ascii="Arial" w:hAnsi="Arial" w:cs="Arial"/>
          <w:b/>
          <w:bCs/>
          <w:sz w:val="20"/>
          <w:szCs w:val="20"/>
        </w:rPr>
      </w:pPr>
    </w:p>
    <w:p w:rsidR="00B053E3" w:rsidP="00D97807" w:rsidRDefault="008739D3" w14:paraId="3F1729F7" w14:textId="37ED2E39">
      <w:pPr>
        <w:rPr>
          <w:rFonts w:ascii="Arial" w:hAnsi="Arial" w:cs="Arial"/>
          <w:sz w:val="20"/>
          <w:szCs w:val="20"/>
        </w:rPr>
      </w:pPr>
      <w:r>
        <w:rPr>
          <w:rFonts w:ascii="Arial" w:hAnsi="Arial" w:cs="Arial"/>
          <w:sz w:val="20"/>
          <w:szCs w:val="20"/>
        </w:rPr>
        <w:t xml:space="preserve">This attachment is intended to provide Offerors </w:t>
      </w:r>
      <w:r w:rsidR="000C5FD3">
        <w:rPr>
          <w:rFonts w:ascii="Arial" w:hAnsi="Arial" w:cs="Arial"/>
          <w:sz w:val="20"/>
          <w:szCs w:val="20"/>
        </w:rPr>
        <w:t xml:space="preserve">with </w:t>
      </w:r>
      <w:r>
        <w:rPr>
          <w:rFonts w:ascii="Arial" w:hAnsi="Arial" w:cs="Arial"/>
          <w:sz w:val="20"/>
          <w:szCs w:val="20"/>
        </w:rPr>
        <w:t>an overview of the Lead State’s protest law</w:t>
      </w:r>
      <w:r w:rsidR="00B053E3">
        <w:rPr>
          <w:rFonts w:ascii="Arial" w:hAnsi="Arial" w:cs="Arial"/>
          <w:sz w:val="20"/>
          <w:szCs w:val="20"/>
        </w:rPr>
        <w:t xml:space="preserve">, </w:t>
      </w:r>
      <w:r w:rsidR="00EB2E7A">
        <w:rPr>
          <w:rFonts w:ascii="Arial" w:hAnsi="Arial" w:cs="Arial"/>
          <w:sz w:val="20"/>
          <w:szCs w:val="20"/>
        </w:rPr>
        <w:t xml:space="preserve">procedures, </w:t>
      </w:r>
      <w:r w:rsidR="00B053E3">
        <w:rPr>
          <w:rFonts w:ascii="Arial" w:hAnsi="Arial" w:cs="Arial"/>
          <w:sz w:val="20"/>
          <w:szCs w:val="20"/>
        </w:rPr>
        <w:t xml:space="preserve">and requirements, </w:t>
      </w:r>
      <w:r w:rsidR="00EB2E7A">
        <w:rPr>
          <w:rFonts w:ascii="Arial" w:hAnsi="Arial" w:cs="Arial"/>
          <w:sz w:val="20"/>
          <w:szCs w:val="20"/>
        </w:rPr>
        <w:t xml:space="preserve">which may be updated and amended without notice. </w:t>
      </w:r>
      <w:r>
        <w:rPr>
          <w:rFonts w:ascii="Arial" w:hAnsi="Arial" w:cs="Arial"/>
          <w:sz w:val="20"/>
          <w:szCs w:val="20"/>
        </w:rPr>
        <w:t xml:space="preserve">Offerors </w:t>
      </w:r>
      <w:r w:rsidR="00EB2E7A">
        <w:rPr>
          <w:rFonts w:ascii="Arial" w:hAnsi="Arial" w:cs="Arial"/>
          <w:sz w:val="20"/>
          <w:szCs w:val="20"/>
        </w:rPr>
        <w:t xml:space="preserve">filing a protest are wholly responsible for </w:t>
      </w:r>
      <w:r w:rsidR="00B053E3">
        <w:rPr>
          <w:rFonts w:ascii="Arial" w:hAnsi="Arial" w:cs="Arial"/>
          <w:sz w:val="20"/>
          <w:szCs w:val="20"/>
        </w:rPr>
        <w:t xml:space="preserve">locating, understanding, and </w:t>
      </w:r>
      <w:r w:rsidR="00EB2E7A">
        <w:rPr>
          <w:rFonts w:ascii="Arial" w:hAnsi="Arial" w:cs="Arial"/>
          <w:sz w:val="20"/>
          <w:szCs w:val="20"/>
        </w:rPr>
        <w:t xml:space="preserve">complying with </w:t>
      </w:r>
      <w:r w:rsidR="00B053E3">
        <w:rPr>
          <w:rFonts w:ascii="Arial" w:hAnsi="Arial" w:cs="Arial"/>
          <w:sz w:val="20"/>
          <w:szCs w:val="20"/>
        </w:rPr>
        <w:t>protest law, procedures, and requirements</w:t>
      </w:r>
      <w:r w:rsidR="00EB2E7A">
        <w:rPr>
          <w:rFonts w:ascii="Arial" w:hAnsi="Arial" w:cs="Arial"/>
          <w:sz w:val="20"/>
          <w:szCs w:val="20"/>
        </w:rPr>
        <w:t xml:space="preserve"> </w:t>
      </w:r>
      <w:r w:rsidR="00ED388A">
        <w:rPr>
          <w:rFonts w:ascii="Arial" w:hAnsi="Arial" w:cs="Arial"/>
          <w:sz w:val="20"/>
          <w:szCs w:val="20"/>
        </w:rPr>
        <w:t>in effect</w:t>
      </w:r>
      <w:r w:rsidR="00B053E3">
        <w:rPr>
          <w:rFonts w:ascii="Arial" w:hAnsi="Arial" w:cs="Arial"/>
          <w:sz w:val="20"/>
          <w:szCs w:val="20"/>
        </w:rPr>
        <w:t xml:space="preserve"> at the time of the protest.</w:t>
      </w:r>
    </w:p>
    <w:p w:rsidRPr="004C6B98" w:rsidR="004C6B98" w:rsidP="004C6B98" w:rsidRDefault="004C6B98" w14:paraId="55E513B1" w14:textId="77777777">
      <w:pPr>
        <w:rPr>
          <w:rFonts w:ascii="Arial" w:hAnsi="Arial" w:cs="Arial"/>
          <w:b/>
          <w:bCs/>
          <w:sz w:val="20"/>
          <w:szCs w:val="20"/>
        </w:rPr>
      </w:pPr>
      <w:r w:rsidRPr="004C6B98">
        <w:rPr>
          <w:rFonts w:ascii="Arial" w:hAnsi="Arial" w:cs="Arial"/>
          <w:b/>
          <w:bCs/>
          <w:sz w:val="20"/>
          <w:szCs w:val="20"/>
        </w:rPr>
        <w:t>OAC 260:115-3-19 - Supplier's Protest</w:t>
      </w:r>
    </w:p>
    <w:p w:rsidRPr="004C6B98" w:rsidR="004C6B98" w:rsidP="004C6B98" w:rsidRDefault="004C6B98" w14:paraId="50315081" w14:textId="77777777">
      <w:pPr>
        <w:numPr>
          <w:ilvl w:val="0"/>
          <w:numId w:val="7"/>
        </w:numPr>
        <w:rPr>
          <w:rFonts w:ascii="Arial" w:hAnsi="Arial" w:cs="Arial"/>
          <w:sz w:val="20"/>
          <w:szCs w:val="20"/>
        </w:rPr>
      </w:pPr>
      <w:r w:rsidRPr="004C6B98">
        <w:rPr>
          <w:rFonts w:ascii="Arial" w:hAnsi="Arial" w:cs="Arial"/>
          <w:sz w:val="20"/>
          <w:szCs w:val="20"/>
        </w:rPr>
        <w:t>A supplier may protest a contract award by a state agency or OMES to the State Purchasing Director. All remedies available to suppliers through the sealed bid process pursuant to the Oklahoma Central Purchasing Act are also available to online bidders in an online bidding process. </w:t>
      </w:r>
    </w:p>
    <w:p w:rsidRPr="004C6B98" w:rsidR="004C6B98" w:rsidP="004C6B98" w:rsidRDefault="004C6B98" w14:paraId="0EEA5196" w14:textId="3A04EA90">
      <w:pPr>
        <w:numPr>
          <w:ilvl w:val="1"/>
          <w:numId w:val="7"/>
        </w:numPr>
        <w:rPr>
          <w:rFonts w:ascii="Arial" w:hAnsi="Arial" w:cs="Arial"/>
          <w:sz w:val="20"/>
          <w:szCs w:val="20"/>
        </w:rPr>
      </w:pPr>
      <w:r w:rsidRPr="004C6B98">
        <w:rPr>
          <w:rFonts w:ascii="Arial" w:hAnsi="Arial" w:cs="Arial"/>
          <w:b/>
          <w:bCs/>
          <w:sz w:val="20"/>
          <w:szCs w:val="20"/>
        </w:rPr>
        <w:t>Supplier notification.</w:t>
      </w:r>
      <w:r w:rsidR="00380752">
        <w:rPr>
          <w:rFonts w:ascii="Arial" w:hAnsi="Arial" w:cs="Arial"/>
          <w:sz w:val="20"/>
          <w:szCs w:val="20"/>
        </w:rPr>
        <w:t xml:space="preserve"> </w:t>
      </w:r>
      <w:r w:rsidRPr="004C6B98">
        <w:rPr>
          <w:rFonts w:ascii="Arial" w:hAnsi="Arial" w:cs="Arial"/>
          <w:sz w:val="20"/>
          <w:szCs w:val="20"/>
        </w:rPr>
        <w:t>A supplier shall submit written notice to the State Purchasing Director of a protest of an award of contract by a state agency or OMES within ten (10) business days of contract award. The supplier protest notice shall state all facts and reasons in specificity for protest. </w:t>
      </w:r>
    </w:p>
    <w:p w:rsidRPr="004C6B98" w:rsidR="004C6B98" w:rsidP="004C6B98" w:rsidRDefault="004C6B98" w14:paraId="4E48B079" w14:textId="61E9E063">
      <w:pPr>
        <w:numPr>
          <w:ilvl w:val="1"/>
          <w:numId w:val="7"/>
        </w:numPr>
        <w:rPr>
          <w:rFonts w:ascii="Arial" w:hAnsi="Arial" w:cs="Arial"/>
          <w:sz w:val="20"/>
          <w:szCs w:val="20"/>
        </w:rPr>
      </w:pPr>
      <w:r w:rsidRPr="004C6B98">
        <w:rPr>
          <w:rFonts w:ascii="Arial" w:hAnsi="Arial" w:cs="Arial"/>
          <w:b/>
          <w:bCs/>
          <w:sz w:val="20"/>
          <w:szCs w:val="20"/>
        </w:rPr>
        <w:t>State Purchasing Director review and determination.</w:t>
      </w:r>
      <w:r w:rsidR="00380752">
        <w:rPr>
          <w:rFonts w:ascii="Arial" w:hAnsi="Arial" w:cs="Arial"/>
          <w:sz w:val="20"/>
          <w:szCs w:val="20"/>
        </w:rPr>
        <w:t xml:space="preserve">  </w:t>
      </w:r>
      <w:r w:rsidRPr="004C6B98">
        <w:rPr>
          <w:rFonts w:ascii="Arial" w:hAnsi="Arial" w:cs="Arial"/>
          <w:sz w:val="20"/>
          <w:szCs w:val="20"/>
        </w:rPr>
        <w:t>The State Purchasing Director shall review the supplier’s protest and contract award documents. </w:t>
      </w:r>
    </w:p>
    <w:p w:rsidRPr="004C6B98" w:rsidR="004C6B98" w:rsidP="004C6B98" w:rsidRDefault="004C6B98" w14:paraId="55A6E8A6" w14:textId="77777777">
      <w:pPr>
        <w:numPr>
          <w:ilvl w:val="2"/>
          <w:numId w:val="7"/>
        </w:numPr>
        <w:rPr>
          <w:rFonts w:ascii="Arial" w:hAnsi="Arial" w:cs="Arial"/>
          <w:sz w:val="20"/>
          <w:szCs w:val="20"/>
        </w:rPr>
      </w:pPr>
      <w:r w:rsidRPr="004C6B98">
        <w:rPr>
          <w:rFonts w:ascii="Arial" w:hAnsi="Arial" w:cs="Arial"/>
          <w:sz w:val="20"/>
          <w:szCs w:val="20"/>
        </w:rPr>
        <w:t>The State Purchasing Director may determine to respond to the protest or delegate the responsibility by written notice to the state agency that awarded the contract. </w:t>
      </w:r>
    </w:p>
    <w:p w:rsidRPr="004C6B98" w:rsidR="004C6B98" w:rsidP="004C6B98" w:rsidRDefault="004C6B98" w14:paraId="7F380836" w14:textId="645222D5">
      <w:pPr>
        <w:numPr>
          <w:ilvl w:val="2"/>
          <w:numId w:val="7"/>
        </w:numPr>
        <w:rPr>
          <w:rFonts w:ascii="Arial" w:hAnsi="Arial" w:cs="Arial"/>
          <w:sz w:val="20"/>
          <w:szCs w:val="20"/>
        </w:rPr>
      </w:pPr>
      <w:r w:rsidRPr="004C6B98">
        <w:rPr>
          <w:rFonts w:ascii="Arial" w:hAnsi="Arial" w:cs="Arial"/>
          <w:sz w:val="20"/>
          <w:szCs w:val="20"/>
        </w:rPr>
        <w:t>The State Purchasing Director or state agency, whichever is applicable, shall send written notice of the decision to deny or sustain the protest to the supplier within ten (10) business days of receipt of the protest.</w:t>
      </w:r>
    </w:p>
    <w:p w:rsidRPr="004C6B98" w:rsidR="004C6B98" w:rsidP="004C6B98" w:rsidRDefault="004C6B98" w14:paraId="239FECA4" w14:textId="5004C79A">
      <w:pPr>
        <w:numPr>
          <w:ilvl w:val="1"/>
          <w:numId w:val="7"/>
        </w:numPr>
        <w:rPr>
          <w:rFonts w:ascii="Arial" w:hAnsi="Arial" w:cs="Arial"/>
          <w:sz w:val="20"/>
          <w:szCs w:val="20"/>
        </w:rPr>
      </w:pPr>
      <w:r w:rsidRPr="004C6B98">
        <w:rPr>
          <w:rFonts w:ascii="Arial" w:hAnsi="Arial" w:cs="Arial"/>
          <w:b/>
          <w:bCs/>
          <w:sz w:val="20"/>
          <w:szCs w:val="20"/>
        </w:rPr>
        <w:t>Supplier appeal of decision to deny protest.</w:t>
      </w:r>
      <w:r w:rsidR="00380752">
        <w:rPr>
          <w:rFonts w:ascii="Arial" w:hAnsi="Arial" w:cs="Arial"/>
          <w:b/>
          <w:bCs/>
          <w:sz w:val="20"/>
          <w:szCs w:val="20"/>
        </w:rPr>
        <w:t xml:space="preserve">  </w:t>
      </w:r>
      <w:r w:rsidRPr="004C6B98">
        <w:rPr>
          <w:rFonts w:ascii="Arial" w:hAnsi="Arial" w:cs="Arial"/>
          <w:sz w:val="20"/>
          <w:szCs w:val="20"/>
        </w:rPr>
        <w:t>The supplier may appeal a denial of protest by the State Purchasing Director or a state agency to the OMES Director.</w:t>
      </w:r>
    </w:p>
    <w:p w:rsidRPr="004C6B98" w:rsidR="004C6B98" w:rsidP="004C6B98" w:rsidRDefault="004C6B98" w14:paraId="49460E25" w14:textId="0153B1B3">
      <w:pPr>
        <w:numPr>
          <w:ilvl w:val="2"/>
          <w:numId w:val="8"/>
        </w:numPr>
        <w:rPr>
          <w:rFonts w:ascii="Arial" w:hAnsi="Arial" w:cs="Arial"/>
          <w:sz w:val="20"/>
          <w:szCs w:val="20"/>
        </w:rPr>
      </w:pPr>
      <w:r w:rsidRPr="004C6B98">
        <w:rPr>
          <w:rFonts w:ascii="Arial" w:hAnsi="Arial" w:cs="Arial"/>
          <w:sz w:val="20"/>
          <w:szCs w:val="20"/>
        </w:rPr>
        <w:t>Such appeal shall be filed by the supplier within ten (10) business days of the date of the State Purchasing Director’s or state agency’s notice of denial pursuant to</w:t>
      </w:r>
      <w:r w:rsidR="00380752">
        <w:rPr>
          <w:rFonts w:ascii="Arial" w:hAnsi="Arial" w:cs="Arial"/>
          <w:sz w:val="20"/>
          <w:szCs w:val="20"/>
        </w:rPr>
        <w:t xml:space="preserve">  </w:t>
      </w:r>
      <w:hyperlink w:history="1" w:anchor="CiteID93517" r:id="rId11">
        <w:r w:rsidRPr="004C6B98">
          <w:rPr>
            <w:rStyle w:val="Hyperlink"/>
            <w:rFonts w:ascii="Arial" w:hAnsi="Arial" w:cs="Arial"/>
            <w:sz w:val="20"/>
            <w:szCs w:val="20"/>
          </w:rPr>
          <w:t>75 O.S. §§309 et seq</w:t>
        </w:r>
      </w:hyperlink>
      <w:r w:rsidRPr="004C6B98">
        <w:rPr>
          <w:rFonts w:ascii="Arial" w:hAnsi="Arial" w:cs="Arial"/>
          <w:sz w:val="20"/>
          <w:szCs w:val="20"/>
        </w:rPr>
        <w:t>.</w:t>
      </w:r>
      <w:r w:rsidR="00380752">
        <w:rPr>
          <w:rFonts w:ascii="Arial" w:hAnsi="Arial" w:cs="Arial"/>
          <w:sz w:val="20"/>
          <w:szCs w:val="20"/>
        </w:rPr>
        <w:t xml:space="preserve"> </w:t>
      </w:r>
    </w:p>
    <w:p w:rsidRPr="004C6B98" w:rsidR="004C6B98" w:rsidP="004C6B98" w:rsidRDefault="004C6B98" w14:paraId="1F996E9F" w14:textId="5FC685A0">
      <w:pPr>
        <w:numPr>
          <w:ilvl w:val="2"/>
          <w:numId w:val="8"/>
        </w:numPr>
        <w:rPr>
          <w:rFonts w:ascii="Arial" w:hAnsi="Arial" w:cs="Arial"/>
          <w:sz w:val="20"/>
          <w:szCs w:val="20"/>
        </w:rPr>
      </w:pPr>
      <w:r w:rsidRPr="004C6B98">
        <w:rPr>
          <w:rFonts w:ascii="Arial" w:hAnsi="Arial" w:cs="Arial"/>
          <w:sz w:val="20"/>
          <w:szCs w:val="20"/>
        </w:rPr>
        <w:t xml:space="preserve">The OMES Director may enter an order staying contract performance upon such terms and conditions as the OMES Director determines to be proper. </w:t>
      </w:r>
      <w:r w:rsidR="00380752">
        <w:rPr>
          <w:rFonts w:ascii="Arial" w:hAnsi="Arial" w:cs="Arial"/>
          <w:sz w:val="20"/>
          <w:szCs w:val="20"/>
        </w:rPr>
        <w:t xml:space="preserve"> </w:t>
      </w:r>
      <w:r w:rsidRPr="004C6B98">
        <w:rPr>
          <w:rFonts w:ascii="Arial" w:hAnsi="Arial" w:cs="Arial"/>
          <w:sz w:val="20"/>
          <w:szCs w:val="20"/>
        </w:rPr>
        <w:t xml:space="preserve">Any request for stay of contract performance must be made in writing and filed during the ten (10) business </w:t>
      </w:r>
      <w:proofErr w:type="gramStart"/>
      <w:r w:rsidRPr="004C6B98">
        <w:rPr>
          <w:rFonts w:ascii="Arial" w:hAnsi="Arial" w:cs="Arial"/>
          <w:sz w:val="20"/>
          <w:szCs w:val="20"/>
        </w:rPr>
        <w:t>day time</w:t>
      </w:r>
      <w:proofErr w:type="gramEnd"/>
      <w:r w:rsidRPr="004C6B98">
        <w:rPr>
          <w:rFonts w:ascii="Arial" w:hAnsi="Arial" w:cs="Arial"/>
          <w:sz w:val="20"/>
          <w:szCs w:val="20"/>
        </w:rPr>
        <w:t xml:space="preserve"> period in which an appeal may be commenced to the OMES Director. The OMES Director shall have continuing jurisdiction to modify any such orders made in connection with a stay during the pendency of the appeal as appropriate under the circumstances presented.</w:t>
      </w:r>
      <w:r w:rsidR="00380752">
        <w:rPr>
          <w:rFonts w:ascii="Arial" w:hAnsi="Arial" w:cs="Arial"/>
          <w:sz w:val="20"/>
          <w:szCs w:val="20"/>
        </w:rPr>
        <w:t xml:space="preserve"> </w:t>
      </w:r>
    </w:p>
    <w:p w:rsidRPr="004C6B98" w:rsidR="004C6B98" w:rsidP="004C6B98" w:rsidRDefault="004C6B98" w14:paraId="5C3580AF" w14:textId="2A98B4B6">
      <w:pPr>
        <w:numPr>
          <w:ilvl w:val="1"/>
          <w:numId w:val="8"/>
        </w:numPr>
        <w:rPr>
          <w:rFonts w:ascii="Arial" w:hAnsi="Arial" w:cs="Arial"/>
          <w:sz w:val="20"/>
          <w:szCs w:val="20"/>
        </w:rPr>
      </w:pPr>
      <w:r w:rsidRPr="004C6B98">
        <w:rPr>
          <w:rFonts w:ascii="Arial" w:hAnsi="Arial" w:cs="Arial"/>
          <w:b/>
          <w:bCs/>
          <w:sz w:val="20"/>
          <w:szCs w:val="20"/>
        </w:rPr>
        <w:t>Director actions and determination.</w:t>
      </w:r>
      <w:r w:rsidR="00380752">
        <w:rPr>
          <w:rFonts w:ascii="Arial" w:hAnsi="Arial" w:cs="Arial"/>
          <w:b/>
          <w:bCs/>
          <w:sz w:val="20"/>
          <w:szCs w:val="20"/>
        </w:rPr>
        <w:t xml:space="preserve"> </w:t>
      </w:r>
      <w:r w:rsidRPr="004C6B98">
        <w:rPr>
          <w:rFonts w:ascii="Arial" w:hAnsi="Arial" w:cs="Arial"/>
          <w:sz w:val="20"/>
          <w:szCs w:val="20"/>
        </w:rPr>
        <w:t>The OMES director may hear the appeal or assign the supplier’s appeal to an Administrative Law Judge retained by the agency.</w:t>
      </w:r>
    </w:p>
    <w:p w:rsidRPr="004C6B98" w:rsidR="004C6B98" w:rsidP="004C6B98" w:rsidRDefault="004C6B98" w14:paraId="0B9698E3" w14:textId="6736AA89">
      <w:pPr>
        <w:numPr>
          <w:ilvl w:val="2"/>
          <w:numId w:val="9"/>
        </w:numPr>
        <w:rPr>
          <w:rFonts w:ascii="Arial" w:hAnsi="Arial" w:cs="Arial"/>
          <w:sz w:val="20"/>
          <w:szCs w:val="20"/>
        </w:rPr>
      </w:pPr>
      <w:r w:rsidRPr="004C6B98">
        <w:rPr>
          <w:rFonts w:ascii="Arial" w:hAnsi="Arial" w:cs="Arial"/>
          <w:sz w:val="20"/>
          <w:szCs w:val="20"/>
        </w:rPr>
        <w:t xml:space="preserve">If the appeal is assigned to an Administrative Law Judge, the Administrative Law Judge shall review the appeal for legal authority and jurisdiction. If legal authority and </w:t>
      </w:r>
      <w:r w:rsidRPr="004C6B98">
        <w:rPr>
          <w:rFonts w:ascii="Arial" w:hAnsi="Arial" w:cs="Arial"/>
          <w:sz w:val="20"/>
          <w:szCs w:val="20"/>
        </w:rPr>
        <w:lastRenderedPageBreak/>
        <w:t>jurisdictional requirements are met, the Administrative Law Judge shall conduct an administrative hearing and provide proposed findings of fact and conclusions of law to the OMES Director.</w:t>
      </w:r>
      <w:r w:rsidR="00380752">
        <w:rPr>
          <w:rFonts w:ascii="Arial" w:hAnsi="Arial" w:cs="Arial"/>
          <w:sz w:val="20"/>
          <w:szCs w:val="20"/>
        </w:rPr>
        <w:t xml:space="preserve"> </w:t>
      </w:r>
    </w:p>
    <w:p w:rsidRPr="004C6B98" w:rsidR="004C6B98" w:rsidP="004C6B98" w:rsidRDefault="004C6B98" w14:paraId="2B73F1BE" w14:textId="2BE8E65B">
      <w:pPr>
        <w:numPr>
          <w:ilvl w:val="2"/>
          <w:numId w:val="9"/>
        </w:numPr>
        <w:rPr>
          <w:rFonts w:ascii="Arial" w:hAnsi="Arial" w:cs="Arial"/>
          <w:sz w:val="20"/>
          <w:szCs w:val="20"/>
        </w:rPr>
      </w:pPr>
      <w:r w:rsidRPr="004C6B98">
        <w:rPr>
          <w:rFonts w:ascii="Arial" w:hAnsi="Arial" w:cs="Arial"/>
          <w:sz w:val="20"/>
          <w:szCs w:val="20"/>
        </w:rPr>
        <w:t>If the appeal is heard by the OMES Director, the OMES Director shall have all powers granted by law including all powers delegated to the Administrative Law Judge by this section.</w:t>
      </w:r>
      <w:r w:rsidR="00380752">
        <w:rPr>
          <w:rFonts w:ascii="Arial" w:hAnsi="Arial" w:cs="Arial"/>
          <w:sz w:val="20"/>
          <w:szCs w:val="20"/>
        </w:rPr>
        <w:t xml:space="preserve"> </w:t>
      </w:r>
    </w:p>
    <w:p w:rsidRPr="004C6B98" w:rsidR="004C6B98" w:rsidP="004C6B98" w:rsidRDefault="004C6B98" w14:paraId="1A0DBF1F" w14:textId="20D9F1B9">
      <w:pPr>
        <w:numPr>
          <w:ilvl w:val="2"/>
          <w:numId w:val="9"/>
        </w:numPr>
        <w:rPr>
          <w:rFonts w:ascii="Arial" w:hAnsi="Arial" w:cs="Arial"/>
          <w:sz w:val="20"/>
          <w:szCs w:val="20"/>
        </w:rPr>
      </w:pPr>
      <w:r w:rsidRPr="004C6B98">
        <w:rPr>
          <w:rFonts w:ascii="Arial" w:hAnsi="Arial" w:cs="Arial"/>
          <w:sz w:val="20"/>
          <w:szCs w:val="20"/>
        </w:rPr>
        <w:t>The OMES Director shall send written notice of the final order sustaining or denying the supplier’s appeal to the parties.</w:t>
      </w:r>
    </w:p>
    <w:p w:rsidRPr="004C6B98" w:rsidR="004C6B98" w:rsidP="004C6B98" w:rsidRDefault="004C6B98" w14:paraId="1C69CB7A" w14:textId="641B16AE">
      <w:pPr>
        <w:numPr>
          <w:ilvl w:val="2"/>
          <w:numId w:val="9"/>
        </w:numPr>
        <w:rPr>
          <w:rFonts w:ascii="Arial" w:hAnsi="Arial" w:cs="Arial"/>
          <w:sz w:val="20"/>
          <w:szCs w:val="20"/>
        </w:rPr>
      </w:pPr>
      <w:r w:rsidRPr="004C6B98">
        <w:rPr>
          <w:rFonts w:ascii="Arial" w:hAnsi="Arial" w:cs="Arial"/>
          <w:sz w:val="20"/>
          <w:szCs w:val="20"/>
        </w:rPr>
        <w:t>The cost of actions necessary to process a supplier’s appeal, together with any other expenses incurred due to the appeal, shall be paid by the state agency responsible for the initial solicitation.</w:t>
      </w:r>
    </w:p>
    <w:p w:rsidRPr="004C6B98" w:rsidR="004C6B98" w:rsidP="004C6B98" w:rsidRDefault="004C6B98" w14:paraId="21AFB82D" w14:textId="2F55235F">
      <w:pPr>
        <w:numPr>
          <w:ilvl w:val="1"/>
          <w:numId w:val="9"/>
        </w:numPr>
        <w:rPr>
          <w:rFonts w:ascii="Arial" w:hAnsi="Arial" w:cs="Arial"/>
          <w:sz w:val="20"/>
          <w:szCs w:val="20"/>
        </w:rPr>
      </w:pPr>
      <w:r w:rsidRPr="004C6B98">
        <w:rPr>
          <w:rFonts w:ascii="Arial" w:hAnsi="Arial" w:cs="Arial"/>
          <w:b/>
          <w:bCs/>
          <w:sz w:val="20"/>
          <w:szCs w:val="20"/>
        </w:rPr>
        <w:t>Conduct of administrative hearing.</w:t>
      </w:r>
      <w:r w:rsidRPr="004C6B98">
        <w:rPr>
          <w:rFonts w:ascii="Arial" w:hAnsi="Arial" w:cs="Arial"/>
          <w:sz w:val="20"/>
          <w:szCs w:val="20"/>
        </w:rPr>
        <w:t> Administrative hearings shall be conducted in accordance with the</w:t>
      </w:r>
      <w:r w:rsidR="00380752">
        <w:rPr>
          <w:rFonts w:ascii="Arial" w:hAnsi="Arial" w:cs="Arial"/>
          <w:sz w:val="20"/>
          <w:szCs w:val="20"/>
        </w:rPr>
        <w:t xml:space="preserve">  </w:t>
      </w:r>
      <w:hyperlink w:history="1" w:anchor="CiteID93480" r:id="rId12">
        <w:r w:rsidRPr="004C6B98">
          <w:rPr>
            <w:rStyle w:val="Hyperlink"/>
            <w:rFonts w:ascii="Arial" w:hAnsi="Arial" w:cs="Arial"/>
            <w:sz w:val="20"/>
            <w:szCs w:val="20"/>
          </w:rPr>
          <w:t>Administrative Procedures Act</w:t>
        </w:r>
      </w:hyperlink>
      <w:r w:rsidRPr="004C6B98">
        <w:rPr>
          <w:rFonts w:ascii="Arial" w:hAnsi="Arial" w:cs="Arial"/>
          <w:sz w:val="20"/>
          <w:szCs w:val="20"/>
        </w:rPr>
        <w:t> and the following procedures:</w:t>
      </w:r>
    </w:p>
    <w:p w:rsidRPr="004C6B98" w:rsidR="004C6B98" w:rsidP="004C6B98" w:rsidRDefault="004C6B98" w14:paraId="6D395A4E" w14:textId="703AC4CE">
      <w:pPr>
        <w:numPr>
          <w:ilvl w:val="2"/>
          <w:numId w:val="10"/>
        </w:numPr>
        <w:rPr>
          <w:rFonts w:ascii="Arial" w:hAnsi="Arial" w:cs="Arial"/>
          <w:sz w:val="20"/>
          <w:szCs w:val="20"/>
        </w:rPr>
      </w:pPr>
      <w:r w:rsidRPr="004C6B98">
        <w:rPr>
          <w:rFonts w:ascii="Arial" w:hAnsi="Arial" w:cs="Arial"/>
          <w:sz w:val="20"/>
          <w:szCs w:val="20"/>
        </w:rPr>
        <w:t>Prehearing conference. A prehearing conference shall be scheduled to determine the legal or factual issues which shall be limited to those brought by the supplier in its initial protest to the State Purchasing Director.</w:t>
      </w:r>
    </w:p>
    <w:p w:rsidRPr="004C6B98" w:rsidR="004C6B98" w:rsidP="004C6B98" w:rsidRDefault="004C6B98" w14:paraId="4C4A58DF" w14:textId="199D161D">
      <w:pPr>
        <w:numPr>
          <w:ilvl w:val="2"/>
          <w:numId w:val="10"/>
        </w:numPr>
        <w:rPr>
          <w:rFonts w:ascii="Arial" w:hAnsi="Arial" w:cs="Arial"/>
          <w:sz w:val="20"/>
          <w:szCs w:val="20"/>
        </w:rPr>
      </w:pPr>
      <w:r w:rsidRPr="004C6B98">
        <w:rPr>
          <w:rFonts w:ascii="Arial" w:hAnsi="Arial" w:cs="Arial"/>
          <w:sz w:val="20"/>
          <w:szCs w:val="20"/>
        </w:rPr>
        <w:t>Burden of proof. The burden of proof shall be upon the supplier, which must prove its case by a preponderance of the evidence. A preponderance of the evidence is that evidence which, in light of the record as a whole, leads the Administrative Law Judge to believe a fact is more probably true than not true.</w:t>
      </w:r>
    </w:p>
    <w:p w:rsidRPr="004C6B98" w:rsidR="004C6B98" w:rsidP="004C6B98" w:rsidRDefault="004C6B98" w14:paraId="5B404AA3" w14:textId="3A661301">
      <w:pPr>
        <w:numPr>
          <w:ilvl w:val="2"/>
          <w:numId w:val="10"/>
        </w:numPr>
        <w:rPr>
          <w:rFonts w:ascii="Arial" w:hAnsi="Arial" w:cs="Arial"/>
          <w:sz w:val="20"/>
          <w:szCs w:val="20"/>
        </w:rPr>
      </w:pPr>
      <w:r w:rsidRPr="004C6B98">
        <w:rPr>
          <w:rFonts w:ascii="Arial" w:hAnsi="Arial" w:cs="Arial"/>
          <w:sz w:val="20"/>
          <w:szCs w:val="20"/>
        </w:rPr>
        <w:t>Representation. Corporations must be represented by legal counsel in accordance with Oklahoma law. Legal counsel must be licensed or registered pursuant to the Rules Creating and Controlling the Oklahoma Bar Association.</w:t>
      </w:r>
    </w:p>
    <w:p w:rsidRPr="004C6B98" w:rsidR="004C6B98" w:rsidP="004C6B98" w:rsidRDefault="004C6B98" w14:paraId="4C7C3112" w14:textId="78F3D73D">
      <w:pPr>
        <w:numPr>
          <w:ilvl w:val="2"/>
          <w:numId w:val="10"/>
        </w:numPr>
        <w:rPr>
          <w:rFonts w:ascii="Arial" w:hAnsi="Arial" w:cs="Arial"/>
          <w:sz w:val="20"/>
          <w:szCs w:val="20"/>
        </w:rPr>
      </w:pPr>
      <w:r w:rsidRPr="004C6B98">
        <w:rPr>
          <w:rFonts w:ascii="Arial" w:hAnsi="Arial" w:cs="Arial"/>
          <w:sz w:val="20"/>
          <w:szCs w:val="20"/>
        </w:rPr>
        <w:t>Proper parties. In addition to the supplier protesting the contract award, OMES, the supplier awarded the contract and the state agency for which the bid was let may participate in the bid protest proceedings as a proper party.</w:t>
      </w:r>
    </w:p>
    <w:p w:rsidRPr="004C6B98" w:rsidR="004C6B98" w:rsidP="004C6B98" w:rsidRDefault="004C6B98" w14:paraId="537361EB" w14:textId="1C2FFB52">
      <w:pPr>
        <w:numPr>
          <w:ilvl w:val="2"/>
          <w:numId w:val="10"/>
        </w:numPr>
        <w:rPr>
          <w:rFonts w:ascii="Arial" w:hAnsi="Arial" w:cs="Arial"/>
          <w:sz w:val="20"/>
          <w:szCs w:val="20"/>
        </w:rPr>
      </w:pPr>
      <w:r w:rsidRPr="004C6B98">
        <w:rPr>
          <w:rFonts w:ascii="Arial" w:hAnsi="Arial" w:cs="Arial"/>
          <w:sz w:val="20"/>
          <w:szCs w:val="20"/>
        </w:rPr>
        <w:t>Discovery. The conduct of discovery is governed by the </w:t>
      </w:r>
      <w:hyperlink w:history="1" w:anchor="CiteID93480" r:id="rId13">
        <w:r w:rsidRPr="004C6B98">
          <w:rPr>
            <w:rStyle w:val="Hyperlink"/>
            <w:rFonts w:ascii="Arial" w:hAnsi="Arial" w:cs="Arial"/>
            <w:sz w:val="20"/>
            <w:szCs w:val="20"/>
          </w:rPr>
          <w:t>Administrative Procedures Act</w:t>
        </w:r>
      </w:hyperlink>
      <w:r w:rsidRPr="004C6B98">
        <w:rPr>
          <w:rFonts w:ascii="Arial" w:hAnsi="Arial" w:cs="Arial"/>
          <w:sz w:val="20"/>
          <w:szCs w:val="20"/>
        </w:rPr>
        <w:t>,</w:t>
      </w:r>
      <w:r w:rsidR="00380752">
        <w:rPr>
          <w:rFonts w:ascii="Arial" w:hAnsi="Arial" w:cs="Arial"/>
          <w:sz w:val="20"/>
          <w:szCs w:val="20"/>
        </w:rPr>
        <w:t xml:space="preserve"> </w:t>
      </w:r>
      <w:hyperlink w:history="1" w:anchor="CiteID93517" r:id="rId14">
        <w:r w:rsidRPr="004C6B98">
          <w:rPr>
            <w:rStyle w:val="Hyperlink"/>
            <w:rFonts w:ascii="Arial" w:hAnsi="Arial" w:cs="Arial"/>
            <w:sz w:val="20"/>
            <w:szCs w:val="20"/>
          </w:rPr>
          <w:t>75 O.S. §§ 309 et seq</w:t>
        </w:r>
      </w:hyperlink>
      <w:r w:rsidRPr="004C6B98">
        <w:rPr>
          <w:rFonts w:ascii="Arial" w:hAnsi="Arial" w:cs="Arial"/>
          <w:sz w:val="20"/>
          <w:szCs w:val="20"/>
        </w:rPr>
        <w:t>. and other applicable law.</w:t>
      </w:r>
    </w:p>
    <w:p w:rsidRPr="004C6B98" w:rsidR="004C6B98" w:rsidP="004C6B98" w:rsidRDefault="004C6B98" w14:paraId="0C80612C" w14:textId="223C5E11">
      <w:pPr>
        <w:numPr>
          <w:ilvl w:val="2"/>
          <w:numId w:val="10"/>
        </w:numPr>
        <w:rPr>
          <w:rFonts w:ascii="Arial" w:hAnsi="Arial" w:cs="Arial"/>
          <w:sz w:val="20"/>
          <w:szCs w:val="20"/>
        </w:rPr>
      </w:pPr>
      <w:r w:rsidRPr="004C6B98">
        <w:rPr>
          <w:rFonts w:ascii="Arial" w:hAnsi="Arial" w:cs="Arial"/>
          <w:sz w:val="20"/>
          <w:szCs w:val="20"/>
        </w:rPr>
        <w:t>Authority of the Administrative Law Judge. The Administrative Law Judge may:</w:t>
      </w:r>
    </w:p>
    <w:p w:rsidRPr="004C6B98" w:rsidR="004C6B98" w:rsidP="004C6B98" w:rsidRDefault="004C6B98" w14:paraId="341C7E92" w14:textId="00F1844D">
      <w:pPr>
        <w:numPr>
          <w:ilvl w:val="3"/>
          <w:numId w:val="10"/>
        </w:numPr>
        <w:rPr>
          <w:rFonts w:ascii="Arial" w:hAnsi="Arial" w:cs="Arial"/>
          <w:sz w:val="20"/>
          <w:szCs w:val="20"/>
        </w:rPr>
      </w:pPr>
      <w:r w:rsidRPr="004C6B98">
        <w:rPr>
          <w:rFonts w:ascii="Arial" w:hAnsi="Arial" w:cs="Arial"/>
          <w:sz w:val="20"/>
          <w:szCs w:val="20"/>
        </w:rPr>
        <w:t xml:space="preserve">Establish a scheduling </w:t>
      </w:r>
      <w:proofErr w:type="gramStart"/>
      <w:r w:rsidRPr="004C6B98">
        <w:rPr>
          <w:rFonts w:ascii="Arial" w:hAnsi="Arial" w:cs="Arial"/>
          <w:sz w:val="20"/>
          <w:szCs w:val="20"/>
        </w:rPr>
        <w:t>order;</w:t>
      </w:r>
      <w:proofErr w:type="gramEnd"/>
    </w:p>
    <w:p w:rsidRPr="004C6B98" w:rsidR="004C6B98" w:rsidP="004C6B98" w:rsidRDefault="004C6B98" w14:paraId="4430799C" w14:textId="4C6D3472">
      <w:pPr>
        <w:numPr>
          <w:ilvl w:val="3"/>
          <w:numId w:val="10"/>
        </w:numPr>
        <w:rPr>
          <w:rFonts w:ascii="Arial" w:hAnsi="Arial" w:cs="Arial"/>
          <w:sz w:val="20"/>
          <w:szCs w:val="20"/>
        </w:rPr>
      </w:pPr>
      <w:r w:rsidRPr="004C6B98">
        <w:rPr>
          <w:rFonts w:ascii="Arial" w:hAnsi="Arial" w:cs="Arial"/>
          <w:sz w:val="20"/>
          <w:szCs w:val="20"/>
        </w:rPr>
        <w:t xml:space="preserve">Establish reasonable procedures such as authorizing pleadings to be filed by facsimile or electronic </w:t>
      </w:r>
      <w:proofErr w:type="gramStart"/>
      <w:r w:rsidRPr="004C6B98">
        <w:rPr>
          <w:rFonts w:ascii="Arial" w:hAnsi="Arial" w:cs="Arial"/>
          <w:sz w:val="20"/>
          <w:szCs w:val="20"/>
        </w:rPr>
        <w:t>mail;</w:t>
      </w:r>
      <w:proofErr w:type="gramEnd"/>
    </w:p>
    <w:p w:rsidRPr="004C6B98" w:rsidR="004C6B98" w:rsidP="004C6B98" w:rsidRDefault="004C6B98" w14:paraId="12B635F5" w14:textId="1481D548">
      <w:pPr>
        <w:numPr>
          <w:ilvl w:val="3"/>
          <w:numId w:val="10"/>
        </w:numPr>
        <w:rPr>
          <w:rFonts w:ascii="Arial" w:hAnsi="Arial" w:cs="Arial"/>
          <w:sz w:val="20"/>
          <w:szCs w:val="20"/>
        </w:rPr>
      </w:pPr>
      <w:r w:rsidRPr="004C6B98">
        <w:rPr>
          <w:rFonts w:ascii="Arial" w:hAnsi="Arial" w:cs="Arial"/>
          <w:sz w:val="20"/>
          <w:szCs w:val="20"/>
        </w:rPr>
        <w:t xml:space="preserve">Rule on all interlocutory </w:t>
      </w:r>
      <w:proofErr w:type="gramStart"/>
      <w:r w:rsidRPr="004C6B98">
        <w:rPr>
          <w:rFonts w:ascii="Arial" w:hAnsi="Arial" w:cs="Arial"/>
          <w:sz w:val="20"/>
          <w:szCs w:val="20"/>
        </w:rPr>
        <w:t>motions;</w:t>
      </w:r>
      <w:proofErr w:type="gramEnd"/>
    </w:p>
    <w:p w:rsidRPr="004C6B98" w:rsidR="004C6B98" w:rsidP="004C6B98" w:rsidRDefault="004C6B98" w14:paraId="7340BB23" w14:textId="53DFDE42">
      <w:pPr>
        <w:numPr>
          <w:ilvl w:val="3"/>
          <w:numId w:val="10"/>
        </w:numPr>
        <w:rPr>
          <w:rFonts w:ascii="Arial" w:hAnsi="Arial" w:cs="Arial"/>
          <w:sz w:val="20"/>
          <w:szCs w:val="20"/>
        </w:rPr>
      </w:pPr>
      <w:r w:rsidRPr="004C6B98">
        <w:rPr>
          <w:rFonts w:ascii="Arial" w:hAnsi="Arial" w:cs="Arial"/>
          <w:sz w:val="20"/>
          <w:szCs w:val="20"/>
        </w:rPr>
        <w:t xml:space="preserve">Require briefing of any or all </w:t>
      </w:r>
      <w:proofErr w:type="gramStart"/>
      <w:r w:rsidRPr="004C6B98">
        <w:rPr>
          <w:rFonts w:ascii="Arial" w:hAnsi="Arial" w:cs="Arial"/>
          <w:sz w:val="20"/>
          <w:szCs w:val="20"/>
        </w:rPr>
        <w:t>issues;</w:t>
      </w:r>
      <w:proofErr w:type="gramEnd"/>
    </w:p>
    <w:p w:rsidRPr="004C6B98" w:rsidR="004C6B98" w:rsidP="004C6B98" w:rsidRDefault="004C6B98" w14:paraId="15582454" w14:textId="4E5E5F2B">
      <w:pPr>
        <w:numPr>
          <w:ilvl w:val="3"/>
          <w:numId w:val="10"/>
        </w:numPr>
        <w:rPr>
          <w:rFonts w:ascii="Arial" w:hAnsi="Arial" w:cs="Arial"/>
          <w:sz w:val="20"/>
          <w:szCs w:val="20"/>
        </w:rPr>
      </w:pPr>
      <w:r w:rsidRPr="004C6B98">
        <w:rPr>
          <w:rFonts w:ascii="Arial" w:hAnsi="Arial" w:cs="Arial"/>
          <w:sz w:val="20"/>
          <w:szCs w:val="20"/>
        </w:rPr>
        <w:t xml:space="preserve">Conduct </w:t>
      </w:r>
      <w:proofErr w:type="gramStart"/>
      <w:r w:rsidRPr="004C6B98">
        <w:rPr>
          <w:rFonts w:ascii="Arial" w:hAnsi="Arial" w:cs="Arial"/>
          <w:sz w:val="20"/>
          <w:szCs w:val="20"/>
        </w:rPr>
        <w:t>hearings;</w:t>
      </w:r>
      <w:proofErr w:type="gramEnd"/>
    </w:p>
    <w:p w:rsidRPr="004C6B98" w:rsidR="004C6B98" w:rsidP="004C6B98" w:rsidRDefault="004C6B98" w14:paraId="717672AB" w14:textId="1575E29E">
      <w:pPr>
        <w:numPr>
          <w:ilvl w:val="3"/>
          <w:numId w:val="10"/>
        </w:numPr>
        <w:rPr>
          <w:rFonts w:ascii="Arial" w:hAnsi="Arial" w:cs="Arial"/>
          <w:sz w:val="20"/>
          <w:szCs w:val="20"/>
        </w:rPr>
      </w:pPr>
      <w:r w:rsidRPr="004C6B98">
        <w:rPr>
          <w:rFonts w:ascii="Arial" w:hAnsi="Arial" w:cs="Arial"/>
          <w:sz w:val="20"/>
          <w:szCs w:val="20"/>
        </w:rPr>
        <w:t xml:space="preserve">Rule on the admissibility of all </w:t>
      </w:r>
      <w:proofErr w:type="gramStart"/>
      <w:r w:rsidRPr="004C6B98">
        <w:rPr>
          <w:rFonts w:ascii="Arial" w:hAnsi="Arial" w:cs="Arial"/>
          <w:sz w:val="20"/>
          <w:szCs w:val="20"/>
        </w:rPr>
        <w:t>evidence;</w:t>
      </w:r>
      <w:proofErr w:type="gramEnd"/>
    </w:p>
    <w:p w:rsidRPr="004C6B98" w:rsidR="004C6B98" w:rsidP="004C6B98" w:rsidRDefault="004C6B98" w14:paraId="681A0740" w14:textId="668393C0">
      <w:pPr>
        <w:numPr>
          <w:ilvl w:val="3"/>
          <w:numId w:val="10"/>
        </w:numPr>
        <w:rPr>
          <w:rFonts w:ascii="Arial" w:hAnsi="Arial" w:cs="Arial"/>
          <w:sz w:val="20"/>
          <w:szCs w:val="20"/>
        </w:rPr>
      </w:pPr>
      <w:r w:rsidRPr="004C6B98">
        <w:rPr>
          <w:rFonts w:ascii="Arial" w:hAnsi="Arial" w:cs="Arial"/>
          <w:sz w:val="20"/>
          <w:szCs w:val="20"/>
        </w:rPr>
        <w:lastRenderedPageBreak/>
        <w:t>Question witnesses; and</w:t>
      </w:r>
    </w:p>
    <w:p w:rsidRPr="004C6B98" w:rsidR="004C6B98" w:rsidP="004C6B98" w:rsidRDefault="004C6B98" w14:paraId="49950947" w14:textId="60C80A1C">
      <w:pPr>
        <w:numPr>
          <w:ilvl w:val="3"/>
          <w:numId w:val="10"/>
        </w:numPr>
        <w:rPr>
          <w:rFonts w:ascii="Arial" w:hAnsi="Arial" w:cs="Arial"/>
          <w:sz w:val="20"/>
          <w:szCs w:val="20"/>
        </w:rPr>
      </w:pPr>
      <w:r w:rsidRPr="004C6B98">
        <w:rPr>
          <w:rFonts w:ascii="Arial" w:hAnsi="Arial" w:cs="Arial"/>
          <w:sz w:val="20"/>
          <w:szCs w:val="20"/>
        </w:rPr>
        <w:t>Make proposed findings of facts and conclusions of law to the OMES Director.</w:t>
      </w:r>
    </w:p>
    <w:p w:rsidRPr="004C6B98" w:rsidR="004C6B98" w:rsidP="004C6B98" w:rsidRDefault="004C6B98" w14:paraId="7591B943" w14:textId="7538BA72">
      <w:pPr>
        <w:numPr>
          <w:ilvl w:val="2"/>
          <w:numId w:val="10"/>
        </w:numPr>
        <w:rPr>
          <w:rFonts w:ascii="Arial" w:hAnsi="Arial" w:cs="Arial"/>
          <w:sz w:val="20"/>
          <w:szCs w:val="20"/>
        </w:rPr>
      </w:pPr>
      <w:r w:rsidRPr="004C6B98">
        <w:rPr>
          <w:rFonts w:ascii="Arial" w:hAnsi="Arial" w:cs="Arial"/>
          <w:sz w:val="20"/>
          <w:szCs w:val="20"/>
        </w:rPr>
        <w:t>Remedies. The Administrative Law Judge may recommend that the OMES Director deny the supplier’s appeal or that the contract award be cancelled and rebid.</w:t>
      </w:r>
    </w:p>
    <w:p w:rsidRPr="004C6B98" w:rsidR="004C6B98" w:rsidP="004C6B98" w:rsidRDefault="004C6B98" w14:paraId="727D42B0" w14:textId="21CD9EA0">
      <w:pPr>
        <w:numPr>
          <w:ilvl w:val="1"/>
          <w:numId w:val="10"/>
        </w:numPr>
        <w:rPr>
          <w:rFonts w:ascii="Arial" w:hAnsi="Arial" w:cs="Arial"/>
          <w:sz w:val="20"/>
          <w:szCs w:val="20"/>
        </w:rPr>
      </w:pPr>
      <w:r w:rsidRPr="004C6B98">
        <w:rPr>
          <w:rFonts w:ascii="Arial" w:hAnsi="Arial" w:cs="Arial"/>
          <w:b/>
          <w:bCs/>
          <w:sz w:val="20"/>
          <w:szCs w:val="20"/>
        </w:rPr>
        <w:t>Supplier appeal of OMES Director decision to deny appeal.</w:t>
      </w:r>
      <w:r w:rsidR="00380752">
        <w:rPr>
          <w:rFonts w:ascii="Arial" w:hAnsi="Arial" w:cs="Arial"/>
          <w:sz w:val="20"/>
          <w:szCs w:val="20"/>
        </w:rPr>
        <w:t xml:space="preserve">  </w:t>
      </w:r>
      <w:r w:rsidRPr="004C6B98">
        <w:rPr>
          <w:rFonts w:ascii="Arial" w:hAnsi="Arial" w:cs="Arial"/>
          <w:sz w:val="20"/>
          <w:szCs w:val="20"/>
        </w:rPr>
        <w:t>If the OMES Director denies a supplier’s appeal, the supplier may appeal pursuant to provisions of</w:t>
      </w:r>
      <w:r w:rsidR="00380752">
        <w:rPr>
          <w:rFonts w:ascii="Arial" w:hAnsi="Arial" w:cs="Arial"/>
          <w:sz w:val="20"/>
          <w:szCs w:val="20"/>
        </w:rPr>
        <w:t xml:space="preserve"> </w:t>
      </w:r>
      <w:hyperlink w:history="1" w:anchor="CiteID93517" r:id="rId15">
        <w:r w:rsidRPr="004C6B98">
          <w:rPr>
            <w:rStyle w:val="Hyperlink"/>
            <w:rFonts w:ascii="Arial" w:hAnsi="Arial" w:cs="Arial"/>
            <w:sz w:val="20"/>
            <w:szCs w:val="20"/>
          </w:rPr>
          <w:t>75 O.S. §§ 309 et seq</w:t>
        </w:r>
      </w:hyperlink>
      <w:r w:rsidRPr="004C6B98">
        <w:rPr>
          <w:rFonts w:ascii="Arial" w:hAnsi="Arial" w:cs="Arial"/>
          <w:sz w:val="20"/>
          <w:szCs w:val="20"/>
        </w:rPr>
        <w:t>.</w:t>
      </w:r>
    </w:p>
    <w:p w:rsidRPr="00143EDB" w:rsidR="00D97807" w:rsidP="004C6B98" w:rsidRDefault="00D97807" w14:paraId="24AF42C0" w14:textId="25D0CA13">
      <w:pPr>
        <w:rPr>
          <w:rFonts w:ascii="Arial" w:hAnsi="Arial" w:cs="Arial"/>
          <w:b/>
          <w:bCs/>
          <w:sz w:val="20"/>
          <w:szCs w:val="20"/>
        </w:rPr>
      </w:pPr>
    </w:p>
    <w:sectPr w:rsidRPr="00143EDB" w:rsidR="00D97807" w:rsidSect="004D4BE2">
      <w:headerReference w:type="default" r:id="rId16"/>
      <w:footerReference w:type="default" r:id="rId17"/>
      <w:headerReference w:type="first" r:id="rId18"/>
      <w:footerReference w:type="first" r:id="rId19"/>
      <w:pgSz w:w="12240" w:h="15840" w:orient="portrait"/>
      <w:pgMar w:top="1080" w:right="1080" w:bottom="1152"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FF8" w:rsidP="007922CE" w:rsidRDefault="00AE6FF8" w14:paraId="1EF98D10" w14:textId="77777777">
      <w:pPr>
        <w:spacing w:after="0" w:line="240" w:lineRule="auto"/>
      </w:pPr>
      <w:r>
        <w:separator/>
      </w:r>
    </w:p>
  </w:endnote>
  <w:endnote w:type="continuationSeparator" w:id="0">
    <w:p w:rsidR="00AE6FF8" w:rsidP="007922CE" w:rsidRDefault="00AE6FF8" w14:paraId="73A280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614993219"/>
      <w:docPartObj>
        <w:docPartGallery w:val="Page Numbers (Bottom of Page)"/>
        <w:docPartUnique/>
      </w:docPartObj>
    </w:sdtPr>
    <w:sdtEndPr/>
    <w:sdtContent>
      <w:sdt>
        <w:sdtPr>
          <w:id w:val="-1705238520"/>
          <w:docPartObj>
            <w:docPartGallery w:val="Page Numbers (Top of Page)"/>
            <w:docPartUnique/>
          </w:docPartObj>
        </w:sdtPr>
        <w:sdtEndPr/>
        <w:sdtContent>
          <w:p w:rsidR="004D4BE2" w:rsidRDefault="004275A3" w14:paraId="6B047FD3" w14:textId="77777777">
            <w:pPr>
              <w:pStyle w:val="Footer"/>
              <w:rPr>
                <w:rFonts w:ascii="Barlow" w:hAnsi="Barlow"/>
                <w:b/>
                <w:bCs/>
                <w:sz w:val="20"/>
                <w:szCs w:val="20"/>
              </w:rPr>
            </w:pPr>
            <w:r w:rsidRPr="00787D04">
              <w:rPr>
                <w:rFonts w:ascii="Barlow" w:hAnsi="Barlow"/>
                <w:noProof/>
                <w:sz w:val="20"/>
                <w:szCs w:val="20"/>
              </w:rPr>
              <w:drawing>
                <wp:anchor distT="0" distB="0" distL="114300" distR="114300" simplePos="0" relativeHeight="251661312" behindDoc="0" locked="0" layoutInCell="1" allowOverlap="1" wp14:anchorId="6FFDFA85" wp14:editId="712A536E">
                  <wp:simplePos x="0" y="0"/>
                  <wp:positionH relativeFrom="margin">
                    <wp:align>right</wp:align>
                  </wp:positionH>
                  <wp:positionV relativeFrom="paragraph">
                    <wp:posOffset>45720</wp:posOffset>
                  </wp:positionV>
                  <wp:extent cx="960120" cy="265176"/>
                  <wp:effectExtent l="0" t="0" r="0" b="1905"/>
                  <wp:wrapThrough wrapText="bothSides">
                    <wp:wrapPolygon edited="0">
                      <wp:start x="1714" y="0"/>
                      <wp:lineTo x="0" y="15540"/>
                      <wp:lineTo x="0" y="20201"/>
                      <wp:lineTo x="21000" y="20201"/>
                      <wp:lineTo x="21000" y="1554"/>
                      <wp:lineTo x="3857" y="0"/>
                      <wp:lineTo x="1714" y="0"/>
                    </wp:wrapPolygon>
                  </wp:wrapThrough>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 cy="265176"/>
                          </a:xfrm>
                          <a:prstGeom prst="rect">
                            <a:avLst/>
                          </a:prstGeom>
                        </pic:spPr>
                      </pic:pic>
                    </a:graphicData>
                  </a:graphic>
                  <wp14:sizeRelH relativeFrom="margin">
                    <wp14:pctWidth>0</wp14:pctWidth>
                  </wp14:sizeRelH>
                  <wp14:sizeRelV relativeFrom="margin">
                    <wp14:pctHeight>0</wp14:pctHeight>
                  </wp14:sizeRelV>
                </wp:anchor>
              </w:drawing>
            </w:r>
            <w:r w:rsidRPr="00787D04">
              <w:rPr>
                <w:rFonts w:ascii="Barlow" w:hAnsi="Barlow"/>
                <w:sz w:val="20"/>
                <w:szCs w:val="20"/>
              </w:rPr>
              <w:t xml:space="preserve">Page </w:t>
            </w:r>
            <w:r w:rsidRPr="00787D04">
              <w:rPr>
                <w:rFonts w:ascii="Barlow" w:hAnsi="Barlow"/>
                <w:b/>
                <w:bCs/>
                <w:sz w:val="20"/>
                <w:szCs w:val="20"/>
              </w:rPr>
              <w:fldChar w:fldCharType="begin"/>
            </w:r>
            <w:r w:rsidRPr="00787D04">
              <w:rPr>
                <w:rFonts w:ascii="Barlow" w:hAnsi="Barlow"/>
                <w:b/>
                <w:bCs/>
                <w:sz w:val="20"/>
                <w:szCs w:val="20"/>
              </w:rPr>
              <w:instrText xml:space="preserve"> PAGE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r w:rsidRPr="00787D04">
              <w:rPr>
                <w:rFonts w:ascii="Barlow" w:hAnsi="Barlow"/>
                <w:sz w:val="20"/>
                <w:szCs w:val="20"/>
              </w:rPr>
              <w:t xml:space="preserve"> of </w:t>
            </w:r>
            <w:r w:rsidRPr="00787D04">
              <w:rPr>
                <w:rFonts w:ascii="Barlow" w:hAnsi="Barlow"/>
                <w:b/>
                <w:bCs/>
                <w:sz w:val="20"/>
                <w:szCs w:val="20"/>
              </w:rPr>
              <w:fldChar w:fldCharType="begin"/>
            </w:r>
            <w:r w:rsidRPr="00787D04">
              <w:rPr>
                <w:rFonts w:ascii="Barlow" w:hAnsi="Barlow"/>
                <w:b/>
                <w:bCs/>
                <w:sz w:val="20"/>
                <w:szCs w:val="20"/>
              </w:rPr>
              <w:instrText xml:space="preserve"> NUMPAGES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p>
          <w:p w:rsidR="004275A3" w:rsidRDefault="00EB1834" w14:paraId="27737939" w14:textId="0C395002">
            <w:pPr>
              <w:pStyle w:val="Footer"/>
            </w:pPr>
            <w:r w:rsidRPr="00693BB7">
              <w:rPr>
                <w:rFonts w:ascii="Barlow" w:hAnsi="Barlow"/>
                <w:sz w:val="20"/>
                <w:szCs w:val="20"/>
              </w:rPr>
              <w:t xml:space="preserve">Attachment </w:t>
            </w:r>
            <w:r w:rsidR="004C6B98">
              <w:rPr>
                <w:rFonts w:ascii="Barlow" w:hAnsi="Barlow"/>
                <w:sz w:val="20"/>
                <w:szCs w:val="20"/>
              </w:rPr>
              <w:t>F,</w:t>
            </w:r>
            <w:r w:rsidRPr="00693BB7">
              <w:rPr>
                <w:rFonts w:ascii="Barlow" w:hAnsi="Barlow"/>
                <w:sz w:val="20"/>
                <w:szCs w:val="20"/>
              </w:rPr>
              <w:t xml:space="preserve"> </w:t>
            </w:r>
            <w:r w:rsidR="00D97807">
              <w:rPr>
                <w:rFonts w:ascii="Barlow" w:hAnsi="Barlow"/>
                <w:sz w:val="20"/>
                <w:szCs w:val="20"/>
              </w:rPr>
              <w:t>PROTEST INFORMATION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0A75" w:rsidP="00B80A75" w:rsidRDefault="00380752" w14:paraId="1DFB72B8" w14:textId="3C80C902">
    <w:pPr>
      <w:pStyle w:val="Footer"/>
    </w:pPr>
    <w:sdt>
      <w:sdtPr>
        <w:id w:val="-1899900192"/>
        <w:docPartObj>
          <w:docPartGallery w:val="Page Numbers (Top of Page)"/>
          <w:docPartUnique/>
        </w:docPartObj>
      </w:sdtPr>
      <w:sdtEndPr/>
      <w:sdtContent>
        <w:r w:rsidRPr="00787D04" w:rsidR="00B80A75">
          <w:rPr>
            <w:rFonts w:ascii="Barlow" w:hAnsi="Barlow"/>
            <w:noProof/>
            <w:sz w:val="20"/>
            <w:szCs w:val="20"/>
          </w:rPr>
          <w:drawing>
            <wp:anchor distT="0" distB="0" distL="114300" distR="114300" simplePos="0" relativeHeight="251663360" behindDoc="0" locked="0" layoutInCell="1" allowOverlap="1" wp14:anchorId="3121EF87" wp14:editId="7DEEDFA3">
              <wp:simplePos x="0" y="0"/>
              <wp:positionH relativeFrom="margin">
                <wp:posOffset>5549900</wp:posOffset>
              </wp:positionH>
              <wp:positionV relativeFrom="paragraph">
                <wp:posOffset>-52070</wp:posOffset>
              </wp:positionV>
              <wp:extent cx="962712" cy="266700"/>
              <wp:effectExtent l="0" t="0" r="0" b="0"/>
              <wp:wrapThrough wrapText="bothSides">
                <wp:wrapPolygon edited="0">
                  <wp:start x="1710" y="0"/>
                  <wp:lineTo x="0" y="16971"/>
                  <wp:lineTo x="0" y="20057"/>
                  <wp:lineTo x="21372" y="20057"/>
                  <wp:lineTo x="21372" y="1543"/>
                  <wp:lineTo x="3847" y="0"/>
                  <wp:lineTo x="1710" y="0"/>
                </wp:wrapPolygon>
              </wp:wrapThrough>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2712" cy="266700"/>
                      </a:xfrm>
                      <a:prstGeom prst="rect">
                        <a:avLst/>
                      </a:prstGeom>
                    </pic:spPr>
                  </pic:pic>
                </a:graphicData>
              </a:graphic>
              <wp14:sizeRelH relativeFrom="margin">
                <wp14:pctWidth>0</wp14:pctWidth>
              </wp14:sizeRelH>
              <wp14:sizeRelV relativeFrom="margin">
                <wp14:pctHeight>0</wp14:pctHeight>
              </wp14:sizeRelV>
            </wp:anchor>
          </w:drawing>
        </w:r>
        <w:r w:rsidRPr="00787D04" w:rsidR="00B80A75">
          <w:rPr>
            <w:rFonts w:ascii="Barlow" w:hAnsi="Barlow"/>
            <w:sz w:val="20"/>
            <w:szCs w:val="20"/>
          </w:rPr>
          <w:t xml:space="preserve">Page </w:t>
        </w:r>
        <w:r w:rsidRPr="00787D04" w:rsidR="00B80A75">
          <w:rPr>
            <w:rFonts w:ascii="Barlow" w:hAnsi="Barlow"/>
            <w:b/>
            <w:bCs/>
            <w:sz w:val="20"/>
            <w:szCs w:val="20"/>
          </w:rPr>
          <w:fldChar w:fldCharType="begin"/>
        </w:r>
        <w:r w:rsidRPr="00787D04" w:rsidR="00B80A75">
          <w:rPr>
            <w:rFonts w:ascii="Barlow" w:hAnsi="Barlow"/>
            <w:b/>
            <w:bCs/>
            <w:sz w:val="20"/>
            <w:szCs w:val="20"/>
          </w:rPr>
          <w:instrText xml:space="preserve"> PAGE </w:instrText>
        </w:r>
        <w:r w:rsidRPr="00787D04" w:rsidR="00B80A75">
          <w:rPr>
            <w:rFonts w:ascii="Barlow" w:hAnsi="Barlow"/>
            <w:b/>
            <w:bCs/>
            <w:sz w:val="20"/>
            <w:szCs w:val="20"/>
          </w:rPr>
          <w:fldChar w:fldCharType="separate"/>
        </w:r>
        <w:r w:rsidR="00B80A75">
          <w:rPr>
            <w:rFonts w:ascii="Barlow" w:hAnsi="Barlow"/>
            <w:b/>
            <w:bCs/>
            <w:sz w:val="20"/>
            <w:szCs w:val="20"/>
          </w:rPr>
          <w:t>2</w:t>
        </w:r>
        <w:r w:rsidRPr="00787D04" w:rsidR="00B80A75">
          <w:rPr>
            <w:rFonts w:ascii="Barlow" w:hAnsi="Barlow"/>
            <w:b/>
            <w:bCs/>
            <w:sz w:val="20"/>
            <w:szCs w:val="20"/>
          </w:rPr>
          <w:fldChar w:fldCharType="end"/>
        </w:r>
        <w:r w:rsidRPr="00787D04" w:rsidR="00B80A75">
          <w:rPr>
            <w:rFonts w:ascii="Barlow" w:hAnsi="Barlow"/>
            <w:sz w:val="20"/>
            <w:szCs w:val="20"/>
          </w:rPr>
          <w:t xml:space="preserve"> of </w:t>
        </w:r>
        <w:r w:rsidRPr="00787D04" w:rsidR="00B80A75">
          <w:rPr>
            <w:rFonts w:ascii="Barlow" w:hAnsi="Barlow"/>
            <w:b/>
            <w:bCs/>
            <w:sz w:val="20"/>
            <w:szCs w:val="20"/>
          </w:rPr>
          <w:fldChar w:fldCharType="begin"/>
        </w:r>
        <w:r w:rsidRPr="00787D04" w:rsidR="00B80A75">
          <w:rPr>
            <w:rFonts w:ascii="Barlow" w:hAnsi="Barlow"/>
            <w:b/>
            <w:bCs/>
            <w:sz w:val="20"/>
            <w:szCs w:val="20"/>
          </w:rPr>
          <w:instrText xml:space="preserve"> NUMPAGES  </w:instrText>
        </w:r>
        <w:r w:rsidRPr="00787D04" w:rsidR="00B80A75">
          <w:rPr>
            <w:rFonts w:ascii="Barlow" w:hAnsi="Barlow"/>
            <w:b/>
            <w:bCs/>
            <w:sz w:val="20"/>
            <w:szCs w:val="20"/>
          </w:rPr>
          <w:fldChar w:fldCharType="separate"/>
        </w:r>
        <w:r w:rsidR="00B80A75">
          <w:rPr>
            <w:rFonts w:ascii="Barlow" w:hAnsi="Barlow"/>
            <w:b/>
            <w:bCs/>
            <w:sz w:val="20"/>
            <w:szCs w:val="20"/>
          </w:rPr>
          <w:t>9</w:t>
        </w:r>
        <w:r w:rsidRPr="00787D04" w:rsidR="00B80A75">
          <w:rPr>
            <w:rFonts w:ascii="Barlow" w:hAnsi="Barlow"/>
            <w:b/>
            <w:bCs/>
            <w:sz w:val="20"/>
            <w:szCs w:val="20"/>
          </w:rPr>
          <w:fldChar w:fldCharType="end"/>
        </w:r>
        <w:r w:rsidR="00EB1834">
          <w:rPr>
            <w:rFonts w:ascii="Barlow" w:hAnsi="Barlow"/>
            <w:b/>
            <w:bCs/>
            <w:sz w:val="20"/>
            <w:szCs w:val="20"/>
          </w:rPr>
          <w:t xml:space="preserve"> </w:t>
        </w:r>
        <w:r w:rsidRPr="00EB1834" w:rsidR="00EB1834">
          <w:rPr>
            <w:rFonts w:ascii="Barlow" w:hAnsi="Barlow"/>
            <w:sz w:val="20"/>
            <w:szCs w:val="20"/>
          </w:rPr>
          <w:t>–</w:t>
        </w:r>
        <w:r w:rsidR="00EB1834">
          <w:rPr>
            <w:rFonts w:ascii="Barlow" w:hAnsi="Barlow"/>
            <w:b/>
            <w:bCs/>
            <w:sz w:val="20"/>
            <w:szCs w:val="20"/>
          </w:rPr>
          <w:t xml:space="preserve"> Attachment [</w:t>
        </w:r>
        <w:r w:rsidRPr="00EB1834" w:rsidR="00EB1834">
          <w:rPr>
            <w:rFonts w:ascii="Barlow" w:hAnsi="Barlow"/>
            <w:b/>
            <w:bCs/>
            <w:color w:val="FF0000"/>
            <w:sz w:val="20"/>
            <w:szCs w:val="20"/>
          </w:rPr>
          <w:t>X</w:t>
        </w:r>
        <w:r w:rsidR="00EB1834">
          <w:rPr>
            <w:rFonts w:ascii="Barlow" w:hAnsi="Barlow"/>
            <w:b/>
            <w:bCs/>
            <w:sz w:val="20"/>
            <w:szCs w:val="20"/>
          </w:rPr>
          <w:t>], RFP TERMS AND CONDITIONS</w:t>
        </w:r>
      </w:sdtContent>
    </w:sdt>
  </w:p>
  <w:p w:rsidR="00B80A75" w:rsidRDefault="00B80A75" w14:paraId="3058BB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FF8" w:rsidP="007922CE" w:rsidRDefault="00AE6FF8" w14:paraId="47103B57" w14:textId="77777777">
      <w:pPr>
        <w:spacing w:after="0" w:line="240" w:lineRule="auto"/>
      </w:pPr>
      <w:r>
        <w:separator/>
      </w:r>
    </w:p>
  </w:footnote>
  <w:footnote w:type="continuationSeparator" w:id="0">
    <w:p w:rsidR="00AE6FF8" w:rsidP="007922CE" w:rsidRDefault="00AE6FF8" w14:paraId="160942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95CD6" w:rsidR="00380752" w:rsidP="00380752" w:rsidRDefault="007922CE" w14:paraId="3460AF35" w14:textId="056C1B9A">
    <w:pPr>
      <w:pStyle w:val="Header"/>
      <w:tabs>
        <w:tab w:val="clear" w:pos="4680"/>
      </w:tabs>
      <w:rPr>
        <w:rStyle w:val="Strong"/>
        <w:rFonts w:ascii="Barlow" w:hAnsi="Barlow"/>
        <w:caps w:val="0"/>
        <w:color w:val="3B3838" w:themeColor="background2" w:themeShade="40"/>
        <w:sz w:val="20"/>
        <w:szCs w:val="20"/>
      </w:rPr>
    </w:pPr>
    <w:r w:rsidRPr="00142CDC">
      <w:rPr>
        <w:rFonts w:ascii="Arial" w:hAnsi="Arial" w:cs="Arial"/>
        <w:sz w:val="16"/>
        <w:szCs w:val="16"/>
      </w:rPr>
      <w:t>_</w:t>
    </w:r>
    <w:r w:rsidRPr="00380752" w:rsidR="00380752">
      <w:rPr>
        <w:rStyle w:val="Strong"/>
        <w:rFonts w:ascii="Barlow" w:hAnsi="Barlow"/>
        <w:caps w:val="0"/>
        <w:color w:val="3B3838" w:themeColor="background2" w:themeShade="40"/>
        <w:sz w:val="20"/>
        <w:szCs w:val="20"/>
      </w:rPr>
      <w:t xml:space="preserve"> </w:t>
    </w:r>
    <w:r w:rsidRPr="00B95CD6" w:rsidR="00380752">
      <w:rPr>
        <w:rStyle w:val="Strong"/>
        <w:rFonts w:ascii="Barlow" w:hAnsi="Barlow"/>
        <w:caps w:val="0"/>
        <w:color w:val="3B3838" w:themeColor="background2" w:themeShade="40"/>
        <w:sz w:val="20"/>
        <w:szCs w:val="20"/>
      </w:rPr>
      <w:t xml:space="preserve">Request for Proposals </w:t>
    </w:r>
    <w:r w:rsidRPr="003D0CBD" w:rsidR="00380752">
      <w:rPr>
        <w:rStyle w:val="Strong"/>
        <w:rFonts w:ascii="Barlow" w:hAnsi="Barlow"/>
        <w:b w:val="0"/>
        <w:bCs w:val="0"/>
        <w:caps w:val="0"/>
        <w:color w:val="3B3838" w:themeColor="background2" w:themeShade="40"/>
        <w:sz w:val="20"/>
        <w:szCs w:val="20"/>
      </w:rPr>
      <w:t>for</w:t>
    </w:r>
    <w:r w:rsidR="00380752">
      <w:rPr>
        <w:noProof/>
      </w:rPr>
      <w:tab/>
    </w:r>
    <w:r w:rsidR="00380752">
      <w:rPr>
        <w:noProof/>
      </w:rPr>
      <w:drawing>
        <wp:inline distT="0" distB="0" distL="0" distR="0" wp14:anchorId="60540017" wp14:editId="11946825">
          <wp:extent cx="1809750" cy="800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652" cy="875909"/>
                  </a:xfrm>
                  <a:prstGeom prst="rect">
                    <a:avLst/>
                  </a:prstGeom>
                  <a:noFill/>
                </pic:spPr>
              </pic:pic>
            </a:graphicData>
          </a:graphic>
        </wp:inline>
      </w:drawing>
    </w:r>
    <w:r w:rsidR="00380752">
      <w:rPr>
        <w:noProof/>
      </w:rPr>
      <w:tab/>
    </w:r>
  </w:p>
  <w:p w:rsidRPr="00770929" w:rsidR="00380752" w:rsidP="00380752" w:rsidRDefault="00380752" w14:paraId="7C2E44B0" w14:textId="77777777">
    <w:pPr>
      <w:spacing w:after="120" w:line="240" w:lineRule="auto"/>
      <w:rPr>
        <w:rStyle w:val="Strong"/>
        <w:rFonts w:ascii="Barlow" w:hAnsi="Barlow"/>
        <w:caps w:val="0"/>
        <w:sz w:val="20"/>
        <w:szCs w:val="20"/>
      </w:rPr>
    </w:pPr>
    <w:bookmarkStart w:name="_Hlk98400158" w:id="0"/>
    <w:r>
      <w:rPr>
        <w:rStyle w:val="Strong"/>
        <w:rFonts w:ascii="Barlow" w:hAnsi="Barlow"/>
        <w:caps w:val="0"/>
        <w:sz w:val="20"/>
        <w:szCs w:val="20"/>
      </w:rPr>
      <w:t>Heavy Construction &amp; Industrial</w:t>
    </w:r>
    <w:r w:rsidRPr="00770929">
      <w:rPr>
        <w:rStyle w:val="Strong"/>
        <w:rFonts w:ascii="Barlow" w:hAnsi="Barlow"/>
        <w:caps w:val="0"/>
        <w:sz w:val="20"/>
        <w:szCs w:val="20"/>
      </w:rPr>
      <w:t xml:space="preserve"> Equipment</w:t>
    </w:r>
  </w:p>
  <w:bookmarkEnd w:id="0"/>
  <w:p w:rsidRPr="00B95CD6" w:rsidR="00380752" w:rsidP="00380752" w:rsidRDefault="00380752" w14:paraId="160E1C3C" w14:textId="77777777">
    <w:pPr>
      <w:spacing w:line="240" w:lineRule="auto"/>
      <w:contextualSpacing/>
      <w:rPr>
        <w:rFonts w:ascii="Barlow" w:hAnsi="Barlow" w:cs="Arial"/>
        <w:color w:val="3B3838" w:themeColor="background2" w:themeShade="40"/>
        <w:sz w:val="20"/>
        <w:szCs w:val="20"/>
      </w:rPr>
    </w:pPr>
    <w:r w:rsidRPr="00B95CD6">
      <w:rPr>
        <w:rFonts w:ascii="Barlow" w:hAnsi="Barlow" w:cs="Arial"/>
        <w:color w:val="3B3838" w:themeColor="background2" w:themeShade="40"/>
        <w:sz w:val="20"/>
        <w:szCs w:val="20"/>
      </w:rPr>
      <w:t xml:space="preserve">Issued by the </w:t>
    </w:r>
    <w:r w:rsidRPr="00B95CD6">
      <w:rPr>
        <w:rFonts w:ascii="Barlow" w:hAnsi="Barlow" w:cs="Arial"/>
        <w:b/>
        <w:bCs/>
        <w:color w:val="3B3838" w:themeColor="background2" w:themeShade="40"/>
        <w:sz w:val="20"/>
        <w:szCs w:val="20"/>
      </w:rPr>
      <w:t xml:space="preserve">State of </w:t>
    </w:r>
    <w:r>
      <w:rPr>
        <w:rFonts w:ascii="Barlow" w:hAnsi="Barlow" w:cs="Arial"/>
        <w:b/>
        <w:bCs/>
        <w:color w:val="3B3838" w:themeColor="background2" w:themeShade="40"/>
        <w:sz w:val="20"/>
        <w:szCs w:val="20"/>
      </w:rPr>
      <w:t>Oklahoma</w:t>
    </w:r>
  </w:p>
  <w:p w:rsidRPr="00B95CD6" w:rsidR="00380752" w:rsidP="00380752" w:rsidRDefault="00380752" w14:paraId="365DECDC" w14:textId="45EF9C07">
    <w:pPr>
      <w:spacing w:line="240" w:lineRule="auto"/>
      <w:contextualSpacing/>
      <w:rPr>
        <w:rFonts w:ascii="Barlow" w:hAnsi="Barlow" w:cs="Arial"/>
        <w:b w:val="1"/>
        <w:bCs w:val="1"/>
        <w:color w:val="3B3838" w:themeColor="background2" w:themeShade="40"/>
        <w:sz w:val="20"/>
        <w:szCs w:val="20"/>
      </w:rPr>
    </w:pPr>
    <w:r w:rsidRPr="0C44FA12" w:rsidR="0C44FA12">
      <w:rPr>
        <w:rFonts w:ascii="Barlow" w:hAnsi="Barlow" w:cs="Arial"/>
        <w:b w:val="1"/>
        <w:bCs w:val="1"/>
        <w:color w:val="3B3838" w:themeColor="background2" w:themeTint="FF" w:themeShade="40"/>
        <w:sz w:val="20"/>
        <w:szCs w:val="20"/>
      </w:rPr>
      <w:t>Solicitation Number</w:t>
    </w:r>
    <w:r w:rsidRPr="0C44FA12" w:rsidR="0C44FA12">
      <w:rPr>
        <w:rFonts w:ascii="Barlow" w:hAnsi="Barlow" w:cs="Arial"/>
        <w:b w:val="1"/>
        <w:bCs w:val="1"/>
        <w:color w:val="3B3838" w:themeColor="background2" w:themeTint="FF" w:themeShade="40"/>
        <w:sz w:val="20"/>
        <w:szCs w:val="20"/>
      </w:rPr>
      <w:t xml:space="preserve"> OK-MA-192-2</w:t>
    </w:r>
    <w:r w:rsidRPr="0C44FA12" w:rsidR="0C44FA12">
      <w:rPr>
        <w:rFonts w:ascii="Barlow" w:hAnsi="Barlow" w:cs="Arial"/>
        <w:b w:val="1"/>
        <w:bCs w:val="1"/>
        <w:color w:val="3B3838" w:themeColor="background2" w:themeTint="FF" w:themeShade="40"/>
        <w:sz w:val="20"/>
        <w:szCs w:val="20"/>
      </w:rPr>
      <w:t>3</w:t>
    </w:r>
  </w:p>
  <w:p w:rsidRPr="00142CDC" w:rsidR="007922CE" w:rsidP="007922CE" w:rsidRDefault="007922CE" w14:paraId="29D9CE93" w14:textId="4C547D34">
    <w:pPr>
      <w:jc w:val="center"/>
      <w:rPr>
        <w:rFonts w:ascii="Arial" w:hAnsi="Arial" w:cs="Arial"/>
        <w:sz w:val="16"/>
        <w:szCs w:val="16"/>
      </w:rPr>
    </w:pPr>
    <w:r w:rsidRPr="00142CDC">
      <w:rPr>
        <w:rFonts w:ascii="Arial" w:hAnsi="Arial" w:cs="Arial"/>
        <w:sz w:val="16"/>
        <w:szCs w:val="16"/>
      </w:rPr>
      <w:t>___________________________________________________________________________________</w:t>
    </w:r>
    <w:r w:rsidR="00142CDC">
      <w:rPr>
        <w:rFonts w:ascii="Arial" w:hAnsi="Arial" w:cs="Arial"/>
        <w:sz w:val="16"/>
        <w:szCs w:val="16"/>
      </w:rPr>
      <w:t>_____________________</w:t>
    </w:r>
    <w:r w:rsidR="00240EAE">
      <w:rPr>
        <w:rFonts w:ascii="Arial" w:hAnsi="Arial" w:cs="Arial"/>
        <w:sz w:val="16"/>
        <w:szCs w:val="16"/>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75CE" w:rsidR="00EB1834" w:rsidP="00EB1834" w:rsidRDefault="00EB1834" w14:paraId="74440358" w14:textId="77777777">
    <w:pPr>
      <w:pStyle w:val="Header"/>
      <w:tabs>
        <w:tab w:val="clear" w:pos="4680"/>
      </w:tabs>
      <w:rPr>
        <w:rStyle w:val="Strong"/>
        <w:rFonts w:ascii="Barlow" w:hAnsi="Barlow"/>
        <w:caps w:val="0"/>
        <w:color w:val="3B3838" w:themeColor="background2" w:themeShade="40"/>
        <w:sz w:val="20"/>
        <w:szCs w:val="20"/>
      </w:rPr>
    </w:pPr>
    <w:r>
      <w:rPr>
        <w:rStyle w:val="Strong"/>
        <w:rFonts w:ascii="Barlow" w:hAnsi="Barlow"/>
        <w:caps w:val="0"/>
        <w:color w:val="3B3838" w:themeColor="background2" w:themeShade="40"/>
        <w:sz w:val="20"/>
        <w:szCs w:val="20"/>
      </w:rPr>
      <w:t>Request for Proposals</w:t>
    </w:r>
    <w:r w:rsidRPr="00BC75CE">
      <w:rPr>
        <w:rStyle w:val="Strong"/>
        <w:rFonts w:ascii="Barlow" w:hAnsi="Barlow"/>
        <w:caps w:val="0"/>
        <w:color w:val="3B3838" w:themeColor="background2" w:themeShade="40"/>
        <w:sz w:val="20"/>
        <w:szCs w:val="20"/>
      </w:rPr>
      <w:t xml:space="preserve"> for</w:t>
    </w:r>
  </w:p>
  <w:p w:rsidRPr="00BC75CE" w:rsidR="00EB1834" w:rsidP="00EB1834" w:rsidRDefault="00EB1834" w14:paraId="70414E5D" w14:textId="77777777">
    <w:pPr>
      <w:rPr>
        <w:rStyle w:val="Strong"/>
        <w:rFonts w:ascii="Barlow" w:hAnsi="Barlow"/>
        <w:caps w:val="0"/>
        <w:color w:val="C73B31"/>
        <w:sz w:val="20"/>
        <w:szCs w:val="20"/>
      </w:rPr>
    </w:pPr>
    <w:r w:rsidRPr="00BC75CE">
      <w:rPr>
        <w:rStyle w:val="Strong"/>
        <w:rFonts w:ascii="Barlow" w:hAnsi="Barlow"/>
        <w:caps w:val="0"/>
        <w:color w:val="C73B31"/>
        <w:sz w:val="20"/>
        <w:szCs w:val="20"/>
      </w:rPr>
      <w:t>[PORTFOLIO NAME]</w:t>
    </w:r>
  </w:p>
  <w:p w:rsidRPr="00BC75CE" w:rsidR="00EB1834" w:rsidP="00EB1834" w:rsidRDefault="00EB1834" w14:paraId="14682852" w14:textId="77777777">
    <w:pPr>
      <w:spacing w:line="240" w:lineRule="auto"/>
      <w:contextualSpacing/>
      <w:rPr>
        <w:rFonts w:ascii="Barlow" w:hAnsi="Barlow" w:cs="Arial"/>
        <w:color w:val="3B3838" w:themeColor="background2" w:themeShade="40"/>
        <w:sz w:val="20"/>
        <w:szCs w:val="20"/>
      </w:rPr>
    </w:pPr>
    <w:r w:rsidRPr="00BC75CE">
      <w:rPr>
        <w:rFonts w:ascii="Barlow" w:hAnsi="Barlow" w:cs="Arial"/>
        <w:color w:val="3B3838" w:themeColor="background2" w:themeShade="40"/>
        <w:sz w:val="20"/>
        <w:szCs w:val="20"/>
      </w:rPr>
      <w:t xml:space="preserve">Issued by the </w:t>
    </w:r>
    <w:r w:rsidRPr="00BC75CE">
      <w:rPr>
        <w:rFonts w:ascii="Barlow" w:hAnsi="Barlow" w:cs="Arial"/>
        <w:b/>
        <w:bCs/>
        <w:color w:val="3B3838" w:themeColor="background2" w:themeShade="40"/>
        <w:sz w:val="20"/>
        <w:szCs w:val="20"/>
      </w:rPr>
      <w:t>State of [Lead State]</w:t>
    </w:r>
  </w:p>
  <w:p w:rsidRPr="00BC75CE" w:rsidR="00EB1834" w:rsidP="00EB1834" w:rsidRDefault="00EB1834" w14:paraId="7ADF7FDE" w14:textId="77777777">
    <w:pPr>
      <w:spacing w:line="240" w:lineRule="auto"/>
      <w:contextualSpacing/>
      <w:rPr>
        <w:rFonts w:ascii="Barlow" w:hAnsi="Barlow" w:cs="Arial"/>
        <w:b/>
        <w:bCs/>
        <w:color w:val="3B3838" w:themeColor="background2" w:themeShade="40"/>
        <w:sz w:val="20"/>
        <w:szCs w:val="20"/>
      </w:rPr>
    </w:pPr>
    <w:r w:rsidRPr="00BC75CE">
      <w:rPr>
        <w:rFonts w:ascii="Barlow" w:hAnsi="Barlow" w:cs="Arial"/>
        <w:b/>
        <w:bCs/>
        <w:color w:val="3B3838" w:themeColor="background2" w:themeShade="40"/>
        <w:sz w:val="20"/>
        <w:szCs w:val="20"/>
      </w:rPr>
      <w:t xml:space="preserve">Solicitation Number: </w:t>
    </w:r>
    <w:r w:rsidRPr="00B11DBD">
      <w:rPr>
        <w:rFonts w:ascii="Barlow" w:hAnsi="Barlow" w:cs="Arial"/>
        <w:b/>
        <w:bCs/>
        <w:color w:val="315075"/>
        <w:sz w:val="20"/>
        <w:szCs w:val="20"/>
      </w:rPr>
      <w:t>[#######]</w:t>
    </w:r>
  </w:p>
  <w:p w:rsidR="001C3314" w:rsidP="001C3314" w:rsidRDefault="001C3314" w14:paraId="4C32475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D88"/>
    <w:multiLevelType w:val="hybridMultilevel"/>
    <w:tmpl w:val="D110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C0201"/>
    <w:multiLevelType w:val="multilevel"/>
    <w:tmpl w:val="CF8E15BC"/>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3F1C10"/>
    <w:multiLevelType w:val="multilevel"/>
    <w:tmpl w:val="8A6CDBB8"/>
    <w:lvl w:ilvl="0">
      <w:start w:val="1"/>
      <w:numFmt w:val="upperRoman"/>
      <w:lvlText w:val="%1."/>
      <w:lvlJc w:val="right"/>
      <w:pPr>
        <w:tabs>
          <w:tab w:val="num" w:pos="720"/>
        </w:tabs>
        <w:ind w:left="720" w:hanging="360"/>
      </w:pPr>
      <w:rPr>
        <w:rFonts w:hint="default"/>
        <w:b/>
        <w:bCs/>
      </w:rPr>
    </w:lvl>
    <w:lvl w:ilvl="1">
      <w:start w:val="1"/>
      <w:numFmt w:val="upperLetter"/>
      <w:lvlText w:val="%2."/>
      <w:lvlJc w:val="left"/>
      <w:pPr>
        <w:tabs>
          <w:tab w:val="num" w:pos="1440"/>
        </w:tabs>
        <w:ind w:left="1440" w:hanging="360"/>
      </w:pPr>
      <w:rPr>
        <w:rFonts w:hint="default"/>
        <w:b/>
        <w:bCs/>
      </w:rPr>
    </w:lvl>
    <w:lvl w:ilvl="2">
      <w:start w:val="1"/>
      <w:numFmt w:val="decimal"/>
      <w:lvlText w:val="%3."/>
      <w:lvlJc w:val="right"/>
      <w:pPr>
        <w:tabs>
          <w:tab w:val="num" w:pos="2160"/>
        </w:tabs>
        <w:ind w:left="2160" w:hanging="360"/>
      </w:pPr>
      <w:rPr>
        <w:rFonts w:hint="default"/>
        <w:b/>
        <w:bCs/>
      </w:rPr>
    </w:lvl>
    <w:lvl w:ilvl="3">
      <w:start w:val="1"/>
      <w:numFmt w:val="lowerLetter"/>
      <w:lvlText w:val="%4."/>
      <w:lvlJc w:val="left"/>
      <w:pPr>
        <w:tabs>
          <w:tab w:val="num" w:pos="2880"/>
        </w:tabs>
        <w:ind w:left="2880" w:hanging="360"/>
      </w:pPr>
      <w:rPr>
        <w:rFonts w:hint="default"/>
        <w:b/>
        <w:bCs/>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2C6503"/>
    <w:multiLevelType w:val="hybridMultilevel"/>
    <w:tmpl w:val="F388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23D7D"/>
    <w:multiLevelType w:val="multilevel"/>
    <w:tmpl w:val="5BE84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02ED2"/>
    <w:multiLevelType w:val="hybridMultilevel"/>
    <w:tmpl w:val="2B7A4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A3218"/>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0"/>
    <w:rsid w:val="000042BC"/>
    <w:rsid w:val="00010222"/>
    <w:rsid w:val="00011F23"/>
    <w:rsid w:val="00012ABD"/>
    <w:rsid w:val="00021CB6"/>
    <w:rsid w:val="00033A5B"/>
    <w:rsid w:val="00043FBF"/>
    <w:rsid w:val="0005252E"/>
    <w:rsid w:val="000727FE"/>
    <w:rsid w:val="00083BB5"/>
    <w:rsid w:val="000A47D9"/>
    <w:rsid w:val="000B115E"/>
    <w:rsid w:val="000B228A"/>
    <w:rsid w:val="000B6004"/>
    <w:rsid w:val="000B6FBB"/>
    <w:rsid w:val="000C5FD3"/>
    <w:rsid w:val="000D6522"/>
    <w:rsid w:val="000E27A0"/>
    <w:rsid w:val="000F1C50"/>
    <w:rsid w:val="0010405F"/>
    <w:rsid w:val="0012657E"/>
    <w:rsid w:val="00130137"/>
    <w:rsid w:val="0014277C"/>
    <w:rsid w:val="00142CDC"/>
    <w:rsid w:val="00174D16"/>
    <w:rsid w:val="00185EA1"/>
    <w:rsid w:val="00197F9F"/>
    <w:rsid w:val="001A320E"/>
    <w:rsid w:val="001A4EE9"/>
    <w:rsid w:val="001B0A87"/>
    <w:rsid w:val="001B7153"/>
    <w:rsid w:val="001C3314"/>
    <w:rsid w:val="001D293F"/>
    <w:rsid w:val="001D2C3F"/>
    <w:rsid w:val="001D4F26"/>
    <w:rsid w:val="001D5913"/>
    <w:rsid w:val="001E085F"/>
    <w:rsid w:val="001E1C32"/>
    <w:rsid w:val="001E7F35"/>
    <w:rsid w:val="001F08AA"/>
    <w:rsid w:val="002152B5"/>
    <w:rsid w:val="00233A93"/>
    <w:rsid w:val="00234AA4"/>
    <w:rsid w:val="00240EAE"/>
    <w:rsid w:val="00241875"/>
    <w:rsid w:val="00254718"/>
    <w:rsid w:val="00261290"/>
    <w:rsid w:val="00261829"/>
    <w:rsid w:val="00262308"/>
    <w:rsid w:val="00262412"/>
    <w:rsid w:val="0027430F"/>
    <w:rsid w:val="002818E7"/>
    <w:rsid w:val="00285814"/>
    <w:rsid w:val="002863F0"/>
    <w:rsid w:val="00297AD1"/>
    <w:rsid w:val="002B2B6E"/>
    <w:rsid w:val="002B58F1"/>
    <w:rsid w:val="002C10C0"/>
    <w:rsid w:val="002C14EA"/>
    <w:rsid w:val="002C2C64"/>
    <w:rsid w:val="002C3B81"/>
    <w:rsid w:val="002D072A"/>
    <w:rsid w:val="002D359B"/>
    <w:rsid w:val="002E2A13"/>
    <w:rsid w:val="002E4600"/>
    <w:rsid w:val="002E50C7"/>
    <w:rsid w:val="002F4671"/>
    <w:rsid w:val="002F7A38"/>
    <w:rsid w:val="003279CB"/>
    <w:rsid w:val="00351874"/>
    <w:rsid w:val="00357CE5"/>
    <w:rsid w:val="00364E83"/>
    <w:rsid w:val="00367A50"/>
    <w:rsid w:val="00380752"/>
    <w:rsid w:val="00381748"/>
    <w:rsid w:val="003A634F"/>
    <w:rsid w:val="003A6EAB"/>
    <w:rsid w:val="003B6423"/>
    <w:rsid w:val="003B6B67"/>
    <w:rsid w:val="003C1A5E"/>
    <w:rsid w:val="003C362C"/>
    <w:rsid w:val="00406B81"/>
    <w:rsid w:val="00412A1F"/>
    <w:rsid w:val="00422F09"/>
    <w:rsid w:val="004275A3"/>
    <w:rsid w:val="00434119"/>
    <w:rsid w:val="00442EBF"/>
    <w:rsid w:val="004445A1"/>
    <w:rsid w:val="00446495"/>
    <w:rsid w:val="004546A2"/>
    <w:rsid w:val="00464C4F"/>
    <w:rsid w:val="00467EFD"/>
    <w:rsid w:val="0048343C"/>
    <w:rsid w:val="004B0F3D"/>
    <w:rsid w:val="004B1F84"/>
    <w:rsid w:val="004B2E53"/>
    <w:rsid w:val="004C481A"/>
    <w:rsid w:val="004C6B98"/>
    <w:rsid w:val="004D4BE2"/>
    <w:rsid w:val="004D6299"/>
    <w:rsid w:val="004E2ECE"/>
    <w:rsid w:val="004E3130"/>
    <w:rsid w:val="004F1916"/>
    <w:rsid w:val="004F1C12"/>
    <w:rsid w:val="004F38F5"/>
    <w:rsid w:val="00500559"/>
    <w:rsid w:val="005012D9"/>
    <w:rsid w:val="00502C01"/>
    <w:rsid w:val="0051605E"/>
    <w:rsid w:val="00516063"/>
    <w:rsid w:val="005169D6"/>
    <w:rsid w:val="00523A3D"/>
    <w:rsid w:val="00525210"/>
    <w:rsid w:val="00525384"/>
    <w:rsid w:val="005436BE"/>
    <w:rsid w:val="00546700"/>
    <w:rsid w:val="005512B3"/>
    <w:rsid w:val="00554244"/>
    <w:rsid w:val="0057355B"/>
    <w:rsid w:val="005739AC"/>
    <w:rsid w:val="00580FC7"/>
    <w:rsid w:val="005A6C01"/>
    <w:rsid w:val="005B4547"/>
    <w:rsid w:val="005C14B3"/>
    <w:rsid w:val="005E0F94"/>
    <w:rsid w:val="005F65A7"/>
    <w:rsid w:val="005F6643"/>
    <w:rsid w:val="005F72D9"/>
    <w:rsid w:val="006044D2"/>
    <w:rsid w:val="00605B3F"/>
    <w:rsid w:val="00615297"/>
    <w:rsid w:val="00616548"/>
    <w:rsid w:val="00645A13"/>
    <w:rsid w:val="00652F12"/>
    <w:rsid w:val="0066046E"/>
    <w:rsid w:val="006703A8"/>
    <w:rsid w:val="00673B9A"/>
    <w:rsid w:val="00685DC4"/>
    <w:rsid w:val="00692F5C"/>
    <w:rsid w:val="00693BB7"/>
    <w:rsid w:val="006A005E"/>
    <w:rsid w:val="006A34F2"/>
    <w:rsid w:val="006C09A6"/>
    <w:rsid w:val="006C0E8D"/>
    <w:rsid w:val="006C5460"/>
    <w:rsid w:val="006E085B"/>
    <w:rsid w:val="006F156C"/>
    <w:rsid w:val="006F48A7"/>
    <w:rsid w:val="00700CE7"/>
    <w:rsid w:val="00702504"/>
    <w:rsid w:val="007045F7"/>
    <w:rsid w:val="00710E54"/>
    <w:rsid w:val="00714744"/>
    <w:rsid w:val="007243A4"/>
    <w:rsid w:val="00724704"/>
    <w:rsid w:val="00732D1A"/>
    <w:rsid w:val="00740B73"/>
    <w:rsid w:val="0074379D"/>
    <w:rsid w:val="007613DF"/>
    <w:rsid w:val="00764E50"/>
    <w:rsid w:val="007668BF"/>
    <w:rsid w:val="00781A21"/>
    <w:rsid w:val="00787D04"/>
    <w:rsid w:val="007922CE"/>
    <w:rsid w:val="00792F18"/>
    <w:rsid w:val="007A496E"/>
    <w:rsid w:val="007B3629"/>
    <w:rsid w:val="007C6429"/>
    <w:rsid w:val="007D0003"/>
    <w:rsid w:val="007D441B"/>
    <w:rsid w:val="007D722F"/>
    <w:rsid w:val="00823B53"/>
    <w:rsid w:val="0082427F"/>
    <w:rsid w:val="008370B5"/>
    <w:rsid w:val="008739D3"/>
    <w:rsid w:val="008767E3"/>
    <w:rsid w:val="00880EC4"/>
    <w:rsid w:val="008864F5"/>
    <w:rsid w:val="00893789"/>
    <w:rsid w:val="008A6F30"/>
    <w:rsid w:val="008A7953"/>
    <w:rsid w:val="008B3AA3"/>
    <w:rsid w:val="008B4FBF"/>
    <w:rsid w:val="008B5447"/>
    <w:rsid w:val="008C224D"/>
    <w:rsid w:val="008E186B"/>
    <w:rsid w:val="008E3712"/>
    <w:rsid w:val="009058BC"/>
    <w:rsid w:val="00905BCB"/>
    <w:rsid w:val="00906B6B"/>
    <w:rsid w:val="00934DA2"/>
    <w:rsid w:val="009458FC"/>
    <w:rsid w:val="00946A7D"/>
    <w:rsid w:val="00947604"/>
    <w:rsid w:val="00963683"/>
    <w:rsid w:val="00964175"/>
    <w:rsid w:val="00967B86"/>
    <w:rsid w:val="0098263F"/>
    <w:rsid w:val="009939DC"/>
    <w:rsid w:val="009963FB"/>
    <w:rsid w:val="009B55E2"/>
    <w:rsid w:val="009C0CCB"/>
    <w:rsid w:val="009C616D"/>
    <w:rsid w:val="009D2000"/>
    <w:rsid w:val="009D2C65"/>
    <w:rsid w:val="00A10CDC"/>
    <w:rsid w:val="00A2051D"/>
    <w:rsid w:val="00A3096B"/>
    <w:rsid w:val="00A309B6"/>
    <w:rsid w:val="00A3306B"/>
    <w:rsid w:val="00A37268"/>
    <w:rsid w:val="00A41FFF"/>
    <w:rsid w:val="00A51BEC"/>
    <w:rsid w:val="00A5462A"/>
    <w:rsid w:val="00A55728"/>
    <w:rsid w:val="00A712D0"/>
    <w:rsid w:val="00A87C38"/>
    <w:rsid w:val="00A933ED"/>
    <w:rsid w:val="00AA7C94"/>
    <w:rsid w:val="00AB4AB2"/>
    <w:rsid w:val="00AB72F9"/>
    <w:rsid w:val="00AB7828"/>
    <w:rsid w:val="00AD168B"/>
    <w:rsid w:val="00AD6EB0"/>
    <w:rsid w:val="00AE2BCD"/>
    <w:rsid w:val="00AE6FF8"/>
    <w:rsid w:val="00AF4021"/>
    <w:rsid w:val="00AF71A3"/>
    <w:rsid w:val="00B03299"/>
    <w:rsid w:val="00B053E3"/>
    <w:rsid w:val="00B11DBD"/>
    <w:rsid w:val="00B21F12"/>
    <w:rsid w:val="00B240E3"/>
    <w:rsid w:val="00B403CC"/>
    <w:rsid w:val="00B4619C"/>
    <w:rsid w:val="00B52BDD"/>
    <w:rsid w:val="00B55378"/>
    <w:rsid w:val="00B651B0"/>
    <w:rsid w:val="00B66905"/>
    <w:rsid w:val="00B67127"/>
    <w:rsid w:val="00B77720"/>
    <w:rsid w:val="00B80A75"/>
    <w:rsid w:val="00B95CD6"/>
    <w:rsid w:val="00B97686"/>
    <w:rsid w:val="00B97926"/>
    <w:rsid w:val="00BA40EB"/>
    <w:rsid w:val="00BA66B2"/>
    <w:rsid w:val="00BB1318"/>
    <w:rsid w:val="00BC0CB2"/>
    <w:rsid w:val="00BC1E0F"/>
    <w:rsid w:val="00BC75CE"/>
    <w:rsid w:val="00BD28E4"/>
    <w:rsid w:val="00BE2608"/>
    <w:rsid w:val="00BE783F"/>
    <w:rsid w:val="00BE7EFA"/>
    <w:rsid w:val="00BF06D8"/>
    <w:rsid w:val="00C045CB"/>
    <w:rsid w:val="00C10644"/>
    <w:rsid w:val="00C114E2"/>
    <w:rsid w:val="00C14839"/>
    <w:rsid w:val="00C24D58"/>
    <w:rsid w:val="00C310F7"/>
    <w:rsid w:val="00C41812"/>
    <w:rsid w:val="00C43A87"/>
    <w:rsid w:val="00C53920"/>
    <w:rsid w:val="00C57294"/>
    <w:rsid w:val="00C57B0A"/>
    <w:rsid w:val="00C70F42"/>
    <w:rsid w:val="00C726B0"/>
    <w:rsid w:val="00C813D3"/>
    <w:rsid w:val="00C8354A"/>
    <w:rsid w:val="00C84E51"/>
    <w:rsid w:val="00C85246"/>
    <w:rsid w:val="00CA2212"/>
    <w:rsid w:val="00CA5137"/>
    <w:rsid w:val="00CB44BC"/>
    <w:rsid w:val="00CB4B05"/>
    <w:rsid w:val="00CB56C4"/>
    <w:rsid w:val="00CC1291"/>
    <w:rsid w:val="00CC1521"/>
    <w:rsid w:val="00CF1B63"/>
    <w:rsid w:val="00CF3A8D"/>
    <w:rsid w:val="00CF71B8"/>
    <w:rsid w:val="00D07AB3"/>
    <w:rsid w:val="00D16F07"/>
    <w:rsid w:val="00D27535"/>
    <w:rsid w:val="00D40611"/>
    <w:rsid w:val="00D551C4"/>
    <w:rsid w:val="00D70803"/>
    <w:rsid w:val="00D82A0C"/>
    <w:rsid w:val="00D838F9"/>
    <w:rsid w:val="00D97807"/>
    <w:rsid w:val="00DA2BBA"/>
    <w:rsid w:val="00DC6337"/>
    <w:rsid w:val="00DD02E0"/>
    <w:rsid w:val="00DE54A5"/>
    <w:rsid w:val="00DE65C9"/>
    <w:rsid w:val="00DE74F6"/>
    <w:rsid w:val="00DF0D97"/>
    <w:rsid w:val="00DF28E4"/>
    <w:rsid w:val="00DF29F4"/>
    <w:rsid w:val="00DF3CDC"/>
    <w:rsid w:val="00E05D7E"/>
    <w:rsid w:val="00E11F9B"/>
    <w:rsid w:val="00E12913"/>
    <w:rsid w:val="00E201A3"/>
    <w:rsid w:val="00E25B45"/>
    <w:rsid w:val="00E32D14"/>
    <w:rsid w:val="00E36053"/>
    <w:rsid w:val="00E642C3"/>
    <w:rsid w:val="00E67D3E"/>
    <w:rsid w:val="00E80785"/>
    <w:rsid w:val="00E8115E"/>
    <w:rsid w:val="00E91BF1"/>
    <w:rsid w:val="00E91C6E"/>
    <w:rsid w:val="00E946A6"/>
    <w:rsid w:val="00EB1834"/>
    <w:rsid w:val="00EB2E7A"/>
    <w:rsid w:val="00EC11C7"/>
    <w:rsid w:val="00ED388A"/>
    <w:rsid w:val="00EE462A"/>
    <w:rsid w:val="00EE5448"/>
    <w:rsid w:val="00EF3C24"/>
    <w:rsid w:val="00EF67BF"/>
    <w:rsid w:val="00EF7F65"/>
    <w:rsid w:val="00F03E1F"/>
    <w:rsid w:val="00F07399"/>
    <w:rsid w:val="00F07FA8"/>
    <w:rsid w:val="00F15DA4"/>
    <w:rsid w:val="00F16894"/>
    <w:rsid w:val="00F22472"/>
    <w:rsid w:val="00F31813"/>
    <w:rsid w:val="00F3548B"/>
    <w:rsid w:val="00F44A7C"/>
    <w:rsid w:val="00F50DA4"/>
    <w:rsid w:val="00F52AFE"/>
    <w:rsid w:val="00F53810"/>
    <w:rsid w:val="00F6243B"/>
    <w:rsid w:val="00F650D1"/>
    <w:rsid w:val="00F66054"/>
    <w:rsid w:val="00F75114"/>
    <w:rsid w:val="00F759F2"/>
    <w:rsid w:val="00F85A15"/>
    <w:rsid w:val="00F963E0"/>
    <w:rsid w:val="00F96554"/>
    <w:rsid w:val="00F96F2F"/>
    <w:rsid w:val="00F9741B"/>
    <w:rsid w:val="00FA101E"/>
    <w:rsid w:val="00FA5EB2"/>
    <w:rsid w:val="00FD2574"/>
    <w:rsid w:val="00FD4F69"/>
    <w:rsid w:val="0C44F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1E52"/>
  <w15:docId w15:val="{BF0100BE-5EE5-4A96-998C-371220FC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314"/>
  </w:style>
  <w:style w:type="paragraph" w:styleId="Heading1">
    <w:name w:val="heading 1"/>
    <w:basedOn w:val="Normal"/>
    <w:next w:val="Normal"/>
    <w:link w:val="Heading1Char"/>
    <w:uiPriority w:val="9"/>
    <w:qFormat/>
    <w:rsid w:val="00142C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7720"/>
    <w:pPr>
      <w:ind w:left="720"/>
      <w:contextualSpacing/>
    </w:pPr>
  </w:style>
  <w:style w:type="paragraph" w:styleId="Header">
    <w:name w:val="header"/>
    <w:basedOn w:val="Normal"/>
    <w:link w:val="HeaderChar"/>
    <w:uiPriority w:val="99"/>
    <w:unhideWhenUsed/>
    <w:rsid w:val="007922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22CE"/>
  </w:style>
  <w:style w:type="paragraph" w:styleId="Footer">
    <w:name w:val="footer"/>
    <w:basedOn w:val="Normal"/>
    <w:link w:val="FooterChar"/>
    <w:uiPriority w:val="99"/>
    <w:unhideWhenUsed/>
    <w:rsid w:val="007922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22CE"/>
  </w:style>
  <w:style w:type="character" w:styleId="Strong">
    <w:name w:val="Strong"/>
    <w:basedOn w:val="DefaultParagraphFont"/>
    <w:uiPriority w:val="22"/>
    <w:qFormat/>
    <w:rsid w:val="007922CE"/>
    <w:rPr>
      <w:rFonts w:ascii="Arial Black" w:hAnsi="Arial Black"/>
      <w:b/>
      <w:bCs/>
      <w:caps/>
      <w:smallCaps w:val="0"/>
      <w:sz w:val="24"/>
    </w:rPr>
  </w:style>
  <w:style w:type="character" w:styleId="Hyperlink">
    <w:name w:val="Hyperlink"/>
    <w:basedOn w:val="DefaultParagraphFont"/>
    <w:uiPriority w:val="99"/>
    <w:unhideWhenUsed/>
    <w:rsid w:val="00285814"/>
    <w:rPr>
      <w:color w:val="0563C1" w:themeColor="hyperlink"/>
      <w:u w:val="single"/>
    </w:rPr>
  </w:style>
  <w:style w:type="character" w:styleId="UnresolvedMention">
    <w:name w:val="Unresolved Mention"/>
    <w:basedOn w:val="DefaultParagraphFont"/>
    <w:uiPriority w:val="99"/>
    <w:semiHidden/>
    <w:unhideWhenUsed/>
    <w:rsid w:val="00285814"/>
    <w:rPr>
      <w:color w:val="605E5C"/>
      <w:shd w:val="clear" w:color="auto" w:fill="E1DFDD"/>
    </w:rPr>
  </w:style>
  <w:style w:type="character" w:styleId="CommentReference">
    <w:name w:val="annotation reference"/>
    <w:basedOn w:val="DefaultParagraphFont"/>
    <w:uiPriority w:val="99"/>
    <w:semiHidden/>
    <w:unhideWhenUsed/>
    <w:rsid w:val="000A47D9"/>
    <w:rPr>
      <w:sz w:val="16"/>
      <w:szCs w:val="16"/>
    </w:rPr>
  </w:style>
  <w:style w:type="paragraph" w:styleId="CommentText">
    <w:name w:val="annotation text"/>
    <w:basedOn w:val="Normal"/>
    <w:link w:val="CommentTextChar"/>
    <w:uiPriority w:val="99"/>
    <w:semiHidden/>
    <w:unhideWhenUsed/>
    <w:rsid w:val="000A47D9"/>
    <w:pPr>
      <w:spacing w:line="240" w:lineRule="auto"/>
    </w:pPr>
    <w:rPr>
      <w:sz w:val="20"/>
      <w:szCs w:val="20"/>
    </w:rPr>
  </w:style>
  <w:style w:type="character" w:styleId="CommentTextChar" w:customStyle="1">
    <w:name w:val="Comment Text Char"/>
    <w:basedOn w:val="DefaultParagraphFont"/>
    <w:link w:val="CommentText"/>
    <w:uiPriority w:val="99"/>
    <w:semiHidden/>
    <w:rsid w:val="000A47D9"/>
    <w:rPr>
      <w:sz w:val="20"/>
      <w:szCs w:val="20"/>
    </w:rPr>
  </w:style>
  <w:style w:type="paragraph" w:styleId="CommentSubject">
    <w:name w:val="annotation subject"/>
    <w:basedOn w:val="CommentText"/>
    <w:next w:val="CommentText"/>
    <w:link w:val="CommentSubjectChar"/>
    <w:uiPriority w:val="99"/>
    <w:semiHidden/>
    <w:unhideWhenUsed/>
    <w:rsid w:val="000A47D9"/>
    <w:rPr>
      <w:b/>
      <w:bCs/>
    </w:rPr>
  </w:style>
  <w:style w:type="character" w:styleId="CommentSubjectChar" w:customStyle="1">
    <w:name w:val="Comment Subject Char"/>
    <w:basedOn w:val="CommentTextChar"/>
    <w:link w:val="CommentSubject"/>
    <w:uiPriority w:val="99"/>
    <w:semiHidden/>
    <w:rsid w:val="000A47D9"/>
    <w:rPr>
      <w:b/>
      <w:bCs/>
      <w:sz w:val="20"/>
      <w:szCs w:val="20"/>
    </w:rPr>
  </w:style>
  <w:style w:type="table" w:styleId="TableGrid">
    <w:name w:val="Table Grid"/>
    <w:basedOn w:val="TableNormal"/>
    <w:uiPriority w:val="39"/>
    <w:rsid w:val="003A63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42CD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42C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006">
      <w:bodyDiv w:val="1"/>
      <w:marLeft w:val="0"/>
      <w:marRight w:val="0"/>
      <w:marTop w:val="0"/>
      <w:marBottom w:val="0"/>
      <w:divBdr>
        <w:top w:val="none" w:sz="0" w:space="0" w:color="auto"/>
        <w:left w:val="none" w:sz="0" w:space="0" w:color="auto"/>
        <w:bottom w:val="none" w:sz="0" w:space="0" w:color="auto"/>
        <w:right w:val="none" w:sz="0" w:space="0" w:color="auto"/>
      </w:divBdr>
    </w:div>
    <w:div w:id="727999511">
      <w:bodyDiv w:val="1"/>
      <w:marLeft w:val="0"/>
      <w:marRight w:val="0"/>
      <w:marTop w:val="0"/>
      <w:marBottom w:val="0"/>
      <w:divBdr>
        <w:top w:val="none" w:sz="0" w:space="0" w:color="auto"/>
        <w:left w:val="none" w:sz="0" w:space="0" w:color="auto"/>
        <w:bottom w:val="none" w:sz="0" w:space="0" w:color="auto"/>
        <w:right w:val="none" w:sz="0" w:space="0" w:color="auto"/>
      </w:divBdr>
      <w:divsChild>
        <w:div w:id="1087001513">
          <w:marLeft w:val="0"/>
          <w:marRight w:val="0"/>
          <w:marTop w:val="0"/>
          <w:marBottom w:val="0"/>
          <w:divBdr>
            <w:top w:val="none" w:sz="0" w:space="0" w:color="auto"/>
            <w:left w:val="none" w:sz="0" w:space="0" w:color="auto"/>
            <w:bottom w:val="none" w:sz="0" w:space="0" w:color="auto"/>
            <w:right w:val="none" w:sz="0" w:space="0" w:color="auto"/>
          </w:divBdr>
        </w:div>
        <w:div w:id="201331387">
          <w:marLeft w:val="0"/>
          <w:marRight w:val="0"/>
          <w:marTop w:val="0"/>
          <w:marBottom w:val="0"/>
          <w:divBdr>
            <w:top w:val="none" w:sz="0" w:space="0" w:color="auto"/>
            <w:left w:val="none" w:sz="0" w:space="0" w:color="auto"/>
            <w:bottom w:val="none" w:sz="0" w:space="0" w:color="auto"/>
            <w:right w:val="none" w:sz="0" w:space="0" w:color="auto"/>
          </w:divBdr>
        </w:div>
      </w:divsChild>
    </w:div>
    <w:div w:id="993989757">
      <w:bodyDiv w:val="1"/>
      <w:marLeft w:val="0"/>
      <w:marRight w:val="0"/>
      <w:marTop w:val="0"/>
      <w:marBottom w:val="0"/>
      <w:divBdr>
        <w:top w:val="none" w:sz="0" w:space="0" w:color="auto"/>
        <w:left w:val="none" w:sz="0" w:space="0" w:color="auto"/>
        <w:bottom w:val="none" w:sz="0" w:space="0" w:color="auto"/>
        <w:right w:val="none" w:sz="0" w:space="0" w:color="auto"/>
      </w:divBdr>
      <w:divsChild>
        <w:div w:id="554970666">
          <w:marLeft w:val="0"/>
          <w:marRight w:val="0"/>
          <w:marTop w:val="0"/>
          <w:marBottom w:val="0"/>
          <w:divBdr>
            <w:top w:val="none" w:sz="0" w:space="0" w:color="auto"/>
            <w:left w:val="none" w:sz="0" w:space="0" w:color="auto"/>
            <w:bottom w:val="none" w:sz="0" w:space="0" w:color="auto"/>
            <w:right w:val="none" w:sz="0" w:space="0" w:color="auto"/>
          </w:divBdr>
        </w:div>
        <w:div w:id="1878657089">
          <w:marLeft w:val="0"/>
          <w:marRight w:val="0"/>
          <w:marTop w:val="0"/>
          <w:marBottom w:val="0"/>
          <w:divBdr>
            <w:top w:val="none" w:sz="0" w:space="0" w:color="auto"/>
            <w:left w:val="none" w:sz="0" w:space="0" w:color="auto"/>
            <w:bottom w:val="none" w:sz="0" w:space="0" w:color="auto"/>
            <w:right w:val="none" w:sz="0" w:space="0" w:color="auto"/>
          </w:divBdr>
        </w:div>
      </w:divsChild>
    </w:div>
    <w:div w:id="1796751900">
      <w:bodyDiv w:val="1"/>
      <w:marLeft w:val="0"/>
      <w:marRight w:val="0"/>
      <w:marTop w:val="0"/>
      <w:marBottom w:val="0"/>
      <w:divBdr>
        <w:top w:val="none" w:sz="0" w:space="0" w:color="auto"/>
        <w:left w:val="none" w:sz="0" w:space="0" w:color="auto"/>
        <w:bottom w:val="none" w:sz="0" w:space="0" w:color="auto"/>
        <w:right w:val="none" w:sz="0" w:space="0" w:color="auto"/>
      </w:divBdr>
      <w:divsChild>
        <w:div w:id="1176653054">
          <w:marLeft w:val="0"/>
          <w:marRight w:val="0"/>
          <w:marTop w:val="0"/>
          <w:marBottom w:val="0"/>
          <w:divBdr>
            <w:top w:val="none" w:sz="0" w:space="0" w:color="auto"/>
            <w:left w:val="none" w:sz="0" w:space="0" w:color="auto"/>
            <w:bottom w:val="none" w:sz="0" w:space="0" w:color="auto"/>
            <w:right w:val="none" w:sz="0" w:space="0" w:color="auto"/>
          </w:divBdr>
        </w:div>
        <w:div w:id="1055156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scn.net/applications/oscn/index.asp?level=1&amp;ftdb=STOKST75&amp;year="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oscn.net/applications/oscn/index.asp?level=1&amp;ftdb=STOKST75&amp;year="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scn.net/applications/oscn/index.asp?level=1&amp;ftdb=STOKST75&amp;year=" TargetMode="External" Id="rId11" /><Relationship Type="http://schemas.openxmlformats.org/officeDocument/2006/relationships/numbering" Target="numbering.xml" Id="rId5" /><Relationship Type="http://schemas.openxmlformats.org/officeDocument/2006/relationships/hyperlink" Target="http://www.oscn.net/applications/oscn/index.asp?level=1&amp;ftdb=STOKST75&amp;year="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scn.net/applications/oscn/index.asp?level=1&amp;ftdb=STOKST75&amp;year=" TargetMode="External" Id="rId14" /><Relationship Type="http://schemas.openxmlformats.org/officeDocument/2006/relationships/glossaryDocument" Target="glossary/document.xml" Id="R15dbff2566264be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9dede4-1384-4f72-ae62-74874d582fc3}"/>
      </w:docPartPr>
      <w:docPartBody>
        <w:p w14:paraId="5E57A7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EC9C923139941A7843686C7EE301A" ma:contentTypeVersion="4" ma:contentTypeDescription="Create a new document." ma:contentTypeScope="" ma:versionID="6ffe255ef90dedf5dd75065ea8d43b32">
  <xsd:schema xmlns:xsd="http://www.w3.org/2001/XMLSchema" xmlns:xs="http://www.w3.org/2001/XMLSchema" xmlns:p="http://schemas.microsoft.com/office/2006/metadata/properties" xmlns:ns2="d22d4b41-fd64-460d-abbc-735b67a9aaa9" xmlns:ns3="03ea387b-a7a6-4ef4-a235-2ced8cdd2f43" targetNamespace="http://schemas.microsoft.com/office/2006/metadata/properties" ma:root="true" ma:fieldsID="f6e59bdf8953aeaaab22788c0c492e84" ns2:_="" ns3:_="">
    <xsd:import namespace="d22d4b41-fd64-460d-abbc-735b67a9aaa9"/>
    <xsd:import namespace="03ea387b-a7a6-4ef4-a235-2ced8cdd2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d4b41-fd64-460d-abbc-735b67a9a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a387b-a7a6-4ef4-a235-2ced8cdd2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85D84-F45B-414E-899B-AD19D99E4D3A}">
  <ds:schemaRefs>
    <ds:schemaRef ds:uri="http://purl.org/dc/elements/1.1/"/>
    <ds:schemaRef ds:uri="http://schemas.microsoft.com/office/2006/metadata/properties"/>
    <ds:schemaRef ds:uri="d22d4b41-fd64-460d-abbc-735b67a9aaa9"/>
    <ds:schemaRef ds:uri="03ea387b-a7a6-4ef4-a235-2ced8cdd2f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9C9AB9-9173-44E6-9E62-A0022A3A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d4b41-fd64-460d-abbc-735b67a9aaa9"/>
    <ds:schemaRef ds:uri="03ea387b-a7a6-4ef4-a235-2ced8cdd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4C5D-A33B-4B08-BB08-7E56D05D6E1D}">
  <ds:schemaRefs>
    <ds:schemaRef ds:uri="http://schemas.openxmlformats.org/officeDocument/2006/bibliography"/>
  </ds:schemaRefs>
</ds:datastoreItem>
</file>

<file path=customXml/itemProps4.xml><?xml version="1.0" encoding="utf-8"?>
<ds:datastoreItem xmlns:ds="http://schemas.openxmlformats.org/officeDocument/2006/customXml" ds:itemID="{2345EAB9-5291-4E52-BF48-30C1E7CE90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Fay Tan</dc:creator>
  <keywords/>
  <dc:description/>
  <lastModifiedBy>Solomon Kingston</lastModifiedBy>
  <revision>3</revision>
  <dcterms:created xsi:type="dcterms:W3CDTF">2022-09-22T22:37:00.0000000Z</dcterms:created>
  <dcterms:modified xsi:type="dcterms:W3CDTF">2022-12-16T18:21:53.2169053Z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0x010100511EC9C923139941A7843686C7EE301A</vt:lpwstr>
  </property>
</Properties>
</file>