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52C04" w14:textId="6EECDB71" w:rsidR="00C24841" w:rsidRDefault="00C24841" w:rsidP="00C24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841">
        <w:rPr>
          <w:rFonts w:ascii="Times New Roman" w:hAnsi="Times New Roman" w:cs="Times New Roman"/>
          <w:b/>
          <w:sz w:val="28"/>
          <w:szCs w:val="28"/>
        </w:rPr>
        <w:t>ATTACHMENT C</w:t>
      </w:r>
    </w:p>
    <w:p w14:paraId="0FAB65AE" w14:textId="6F3C2240" w:rsidR="00714278" w:rsidRPr="00C24841" w:rsidRDefault="00714278" w:rsidP="007142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841">
        <w:rPr>
          <w:rFonts w:ascii="Times New Roman" w:hAnsi="Times New Roman" w:cs="Times New Roman"/>
          <w:b/>
          <w:sz w:val="28"/>
          <w:szCs w:val="28"/>
        </w:rPr>
        <w:t>AGENCY TERMS</w:t>
      </w:r>
    </w:p>
    <w:p w14:paraId="292897D4" w14:textId="78624F26" w:rsidR="00554F12" w:rsidRDefault="00554F12" w:rsidP="00C24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7ADC9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1.0 Information Security</w:t>
      </w:r>
    </w:p>
    <w:p w14:paraId="1F6E958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1.1 General</w:t>
      </w:r>
    </w:p>
    <w:p w14:paraId="706C419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All contracts and agreements entered into or on behalf of the Oklahoma Department of Human</w:t>
      </w:r>
    </w:p>
    <w:p w14:paraId="041D82B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Services (DHS), where the relationship involves another private or public entity who hosts, stores,</w:t>
      </w:r>
    </w:p>
    <w:p w14:paraId="7B2BA0B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accesses, develops, uses, manages, manipulates, or maintains data and information systems</w:t>
      </w:r>
    </w:p>
    <w:p w14:paraId="53C21D5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owned by or on behalf of DHS, must include information security terms to protect the confidentiality,</w:t>
      </w:r>
    </w:p>
    <w:p w14:paraId="58ED8DA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integrity, and availability of DHS information and information systems. The contractor recognizes</w:t>
      </w:r>
    </w:p>
    <w:p w14:paraId="2C60AFE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that DHS has and shall have confidential agency and client information that need to be protected</w:t>
      </w:r>
    </w:p>
    <w:p w14:paraId="14487E5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from improper disclosure. The contractor agrees that the contractor, any employees of the</w:t>
      </w:r>
    </w:p>
    <w:p w14:paraId="3C23B88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contractor, or any agents of the contractor shall not at any time or in any manner, either directly or</w:t>
      </w:r>
    </w:p>
    <w:p w14:paraId="416A121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indirectly, use any information for the contractor’s benefit or divulge, disclose, or communicate in</w:t>
      </w:r>
    </w:p>
    <w:p w14:paraId="1D44E56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any manner any information to any third party. With DHS prior written consent, such information may</w:t>
      </w:r>
    </w:p>
    <w:p w14:paraId="7721939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be released to authorized third parties. The contractor shall protect the information and treat it as</w:t>
      </w:r>
    </w:p>
    <w:p w14:paraId="5E279BE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strictly confidential. This includes, but is not limited to, total compliance with the Privacy Act of 1974</w:t>
      </w:r>
    </w:p>
    <w:p w14:paraId="309613B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(Public Law 93-579) and (5 U.S.C. 552a). All information in any format, including originals and</w:t>
      </w:r>
    </w:p>
    <w:p w14:paraId="0880136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copies thereof, shall be completely, permanently, and irretrievably destroyed within 30-calendar</w:t>
      </w:r>
    </w:p>
    <w:p w14:paraId="3476074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days after the required three-year record retention period.</w:t>
      </w:r>
    </w:p>
    <w:p w14:paraId="2F02F27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contractor shall perform an annual audit of information security risk assessment that is due to</w:t>
      </w:r>
    </w:p>
    <w:p w14:paraId="1F1D4CE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DHS Office of Inspector General Security (OIG) by the first day of November of each year for</w:t>
      </w:r>
    </w:p>
    <w:p w14:paraId="421BE2D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private entities and by the last day in January for public entities. The final information security risk</w:t>
      </w:r>
    </w:p>
    <w:p w14:paraId="42D9BF9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assessment report shall identify, prioritize, and document the contractor's information security</w:t>
      </w:r>
    </w:p>
    <w:p w14:paraId="36982F9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vulnerabilities. The contractor is granted 60-business days after final report submission to respond</w:t>
      </w:r>
    </w:p>
    <w:p w14:paraId="076699F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with a mitigation plan for the identified security vulnerabilities. The contractor shall use either the</w:t>
      </w:r>
    </w:p>
    <w:p w14:paraId="062E222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standard security risk assessment created by the Office of Management and Enterprise Services</w:t>
      </w:r>
    </w:p>
    <w:p w14:paraId="32E00DB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(OMES) or a third-party risk assessment, meeting the ISO/IEC 27002 standards and, using the</w:t>
      </w:r>
    </w:p>
    <w:p w14:paraId="587A715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National Institute of Standards and Technology Special Publication 800-30 (NIST SP800-30)</w:t>
      </w:r>
    </w:p>
    <w:p w14:paraId="6C5A938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process, approved by OMES.</w:t>
      </w:r>
    </w:p>
    <w:p w14:paraId="69DAB77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contractor shall disclose any breach of the security of the system following discovery or</w:t>
      </w:r>
    </w:p>
    <w:p w14:paraId="06BC981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notification of the breach in the security of the data to any resident of Oklahoma whose encrypted or</w:t>
      </w:r>
    </w:p>
    <w:p w14:paraId="0C24422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unencrypted personal information was, or is reasonably believed to have been, acquired by an</w:t>
      </w:r>
    </w:p>
    <w:p w14:paraId="660A1BF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unauthorized person or entity. The disclosure shall be made in the most expedient time possible and</w:t>
      </w:r>
    </w:p>
    <w:p w14:paraId="2CE0D2F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without unreasonable delay to DHS OIG. The contractor shall deliver a final report of the breach</w:t>
      </w:r>
    </w:p>
    <w:p w14:paraId="480A129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post-mortem, citing the reason, sources, affected records, and mitigation plans or actions within 10-</w:t>
      </w:r>
    </w:p>
    <w:p w14:paraId="457801E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business days of breach discovery.</w:t>
      </w:r>
    </w:p>
    <w:p w14:paraId="27EE971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contractor shall comply with Federal Information Processing Standards - FIPS 200, which</w:t>
      </w:r>
    </w:p>
    <w:p w14:paraId="072858A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promotes the development, implementation, and operation of secure information systems within</w:t>
      </w:r>
    </w:p>
    <w:p w14:paraId="31DECB9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governmental agencies by establishing minimum levels of due diligence for information security and</w:t>
      </w:r>
    </w:p>
    <w:p w14:paraId="4B34A15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facilitating a more consistent, comparable, and repeatable approach for selecting and specifying</w:t>
      </w:r>
    </w:p>
    <w:p w14:paraId="3D1F5A4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security controls for information systems that meet minimum security requirements. The contractor</w:t>
      </w:r>
    </w:p>
    <w:p w14:paraId="76D657E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shall sign DHS acceptable use, confidentiality, and non-disclosure agreements; user logon</w:t>
      </w:r>
    </w:p>
    <w:p w14:paraId="17F77FD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authorizations; and may be subject to background checks.</w:t>
      </w:r>
    </w:p>
    <w:p w14:paraId="0CF0B1E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Form 23CO192E 1/1/2019 Page 2 of 9</w:t>
      </w:r>
    </w:p>
    <w:p w14:paraId="08E6A1E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User logon authorization</w:t>
      </w:r>
    </w:p>
    <w:p w14:paraId="12DCBA8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contractor shall not be granted access to DHS information systems without the prior completion</w:t>
      </w:r>
    </w:p>
    <w:p w14:paraId="38EBE68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and approval of Form 05SC004E, Logon Authorization Request for Non-DHS Employees. Certain</w:t>
      </w:r>
    </w:p>
    <w:p w14:paraId="4CF829C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types of access may require that a background check and verification be performed prior to granting</w:t>
      </w:r>
    </w:p>
    <w:p w14:paraId="6766A0F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access. The contractor shall notify DHS immediately when employees with access to DHS systems</w:t>
      </w:r>
    </w:p>
    <w:p w14:paraId="673AD58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are terminated.</w:t>
      </w:r>
    </w:p>
    <w:p w14:paraId="571DE6F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Background checks and verifications</w:t>
      </w:r>
    </w:p>
    <w:p w14:paraId="3133876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At the sole discretion of DHS, the contractor may be subject to user background checks, depending</w:t>
      </w:r>
    </w:p>
    <w:p w14:paraId="20DE27D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on the information systems the contractor accesses or data DHS provides. The contractor must</w:t>
      </w:r>
    </w:p>
    <w:p w14:paraId="05AAA65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submit the required background check information to DHS in a timely manner. DHS shall not</w:t>
      </w:r>
    </w:p>
    <w:p w14:paraId="7EBC258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process any access agreements prior to completion of user background verification.</w:t>
      </w:r>
    </w:p>
    <w:p w14:paraId="12F8A8A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Business continuity and disaster recovery</w:t>
      </w:r>
    </w:p>
    <w:p w14:paraId="686AC4D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contractor shall comply with OMES minimum mandatory standards for information security and</w:t>
      </w:r>
    </w:p>
    <w:p w14:paraId="630E527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internal controls for contingency planning and disaster recovery. The contractor shall develop</w:t>
      </w:r>
    </w:p>
    <w:p w14:paraId="377E30F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business continuity and disaster recovery plans as stated in the OMES Core Oklahoma Information</w:t>
      </w:r>
    </w:p>
    <w:p w14:paraId="7F2A359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Security Policy Section 8.0, Business Continuity found at http://www.ok.gov/cio/</w:t>
      </w:r>
    </w:p>
    <w:p w14:paraId="1157FB3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776E8">
        <w:rPr>
          <w:rFonts w:ascii="Times New Roman" w:hAnsi="Times New Roman" w:cs="Times New Roman"/>
          <w:b/>
          <w:sz w:val="28"/>
          <w:szCs w:val="28"/>
        </w:rPr>
        <w:t>Policy_and_Standards</w:t>
      </w:r>
      <w:proofErr w:type="spellEnd"/>
      <w:r w:rsidRPr="008776E8">
        <w:rPr>
          <w:rFonts w:ascii="Times New Roman" w:hAnsi="Times New Roman" w:cs="Times New Roman"/>
          <w:b/>
          <w:sz w:val="28"/>
          <w:szCs w:val="28"/>
        </w:rPr>
        <w:t>/. The contractor is further required to exercise, not less than annually, the</w:t>
      </w:r>
    </w:p>
    <w:p w14:paraId="774C45F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recovery capabilities of developed plans. The contractor shall submit exercise summaries annually</w:t>
      </w:r>
    </w:p>
    <w:p w14:paraId="4424F34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or as exercises are conducted to DHS OIG.</w:t>
      </w:r>
    </w:p>
    <w:p w14:paraId="589640B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Auditing and compliance</w:t>
      </w:r>
    </w:p>
    <w:p w14:paraId="173D765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DHS OIG may, at its discretion, audit the contractor for information security compliance. The</w:t>
      </w:r>
    </w:p>
    <w:p w14:paraId="2BF2850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contractor must supply corrective action plans for non-compliant audit findings within 30-business</w:t>
      </w:r>
    </w:p>
    <w:p w14:paraId="11E5728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days from the receipt of the DHS final audit report. Failure to comply with these requirements may</w:t>
      </w:r>
    </w:p>
    <w:p w14:paraId="2A68300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result in funding being withheld from the contractor.</w:t>
      </w:r>
    </w:p>
    <w:p w14:paraId="7A06C40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1.2 Health Insurance Portability and Accountability Act (HIPAA)</w:t>
      </w:r>
    </w:p>
    <w:p w14:paraId="709BDBD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contractor shall agree to use and disclose Protected Health Information in compliance with the</w:t>
      </w:r>
    </w:p>
    <w:p w14:paraId="264DE56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Standards for Privacy of Individually Identifiable Health Information (Privacy Rule) Parts 160,162,</w:t>
      </w:r>
    </w:p>
    <w:p w14:paraId="15677F7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and 164 of Chapter 45 of the Code of Federal Regulations (45 C.F.R. Parts 160,162, and 164)</w:t>
      </w:r>
    </w:p>
    <w:p w14:paraId="3E9184D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under HIPAA when the data they are hosting, storing, accessing, utilizing, managing, or</w:t>
      </w:r>
    </w:p>
    <w:p w14:paraId="6FA1338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manipulating contains electronic Protected Health Information (ePHI) The definitions set forth in the</w:t>
      </w:r>
    </w:p>
    <w:p w14:paraId="164351B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Privacy Rule are incorporated by reference into this contract, per 45 C.F.R. §§ 160.103 and</w:t>
      </w:r>
    </w:p>
    <w:p w14:paraId="2FA3650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164.501. Documentation of HIPAA compliance, including but not limited to, summaries of policies,</w:t>
      </w:r>
    </w:p>
    <w:p w14:paraId="2A686FB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procedures, practices, and user training must be provided to DHS OIG.</w:t>
      </w:r>
    </w:p>
    <w:p w14:paraId="039206E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Failure to comply with the requirements of this standard may result in funding being withheld from</w:t>
      </w:r>
    </w:p>
    <w:p w14:paraId="141FED2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contractor, and/or full audit and inspection of the contractor’s HIPAA security compliance as it</w:t>
      </w:r>
    </w:p>
    <w:p w14:paraId="27DA39E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pertains to this contract. The contractor will sign and adhere to a DHS Business Associate</w:t>
      </w:r>
    </w:p>
    <w:p w14:paraId="79EC1DF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Agreement (BAA). The BAA provides for satisfactory assurances that the contractor shall use the</w:t>
      </w:r>
    </w:p>
    <w:p w14:paraId="7247999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information only for the purposes for which it was engaged. The contractor agrees it shall safeguard</w:t>
      </w:r>
    </w:p>
    <w:p w14:paraId="3FDD6EC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the information from misuse, and comply with HIPAA as it pertains to the duties stated within the</w:t>
      </w:r>
    </w:p>
    <w:p w14:paraId="2CF0D36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contract.</w:t>
      </w:r>
    </w:p>
    <w:p w14:paraId="2DEA752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Failure to comply with the requirements of this standard may result in funding being withheld from</w:t>
      </w:r>
    </w:p>
    <w:p w14:paraId="169D1A2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contractor, and/or full audit and inspection of the contractor’s security compliance as it pertains</w:t>
      </w:r>
    </w:p>
    <w:p w14:paraId="2400505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to this contract.</w:t>
      </w:r>
    </w:p>
    <w:p w14:paraId="3B16BFB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Form 23CO192E 1/1/2019 Page 3 of 9</w:t>
      </w:r>
    </w:p>
    <w:p w14:paraId="72C6C75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1.3 BAA</w:t>
      </w:r>
    </w:p>
    <w:p w14:paraId="4ED972D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When applicable, the following HIPAA BAA language applies:</w:t>
      </w:r>
    </w:p>
    <w:p w14:paraId="0716E0F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BACKGROUND AND PURPOSE: The parties entered into, or may enter into, one or more written</w:t>
      </w:r>
    </w:p>
    <w:p w14:paraId="13C2500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agreements that require a business associate to be provided with, to have access to, and/or to</w:t>
      </w:r>
    </w:p>
    <w:p w14:paraId="208521F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create Protected Health Information (PHI), (the “underlying contract(s)”), subject to the federal</w:t>
      </w:r>
    </w:p>
    <w:p w14:paraId="2E75D40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regulations issued pursuant to HIPAA 45 C.F.R. parts 160 and 164. The BAA shall supplement and/</w:t>
      </w:r>
    </w:p>
    <w:p w14:paraId="7953162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or amend each of the underlying contract(s) only with respect to the business associate’s use,</w:t>
      </w:r>
    </w:p>
    <w:p w14:paraId="0386F18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disclosure, and creation of PHI under the underlying contract(s) to allow a covered entity to comply</w:t>
      </w:r>
    </w:p>
    <w:p w14:paraId="6AEC839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with 45 C.F.R. 164.502(c) and 164.314(a)(2)(I). The business associate acknowledges compliance</w:t>
      </w:r>
    </w:p>
    <w:p w14:paraId="0E81E10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with the HIPAA Security and Privacy regulations, pursuant to Subtitle D of the Health Information</w:t>
      </w:r>
    </w:p>
    <w:p w14:paraId="27A265A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Technology for Economic and Clinical Health Act (HITECH), Title XIII, of the American Recovery</w:t>
      </w:r>
    </w:p>
    <w:p w14:paraId="1C2222D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and Reinvestment Act of 2009, including Sections 164.308, 164.310, 164.312, and 164.316 of 45</w:t>
      </w:r>
    </w:p>
    <w:p w14:paraId="649F58E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C.F.R.. Except as so supplemented and/or amended, the terms of the underlying contract(s) shall</w:t>
      </w:r>
    </w:p>
    <w:p w14:paraId="5022D56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continue unchanged and apply with full force and effect of the law to govern the matters addressed</w:t>
      </w:r>
    </w:p>
    <w:p w14:paraId="6362E7A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in the BAA and in each of the underlying contract(s).</w:t>
      </w:r>
    </w:p>
    <w:p w14:paraId="645DD3D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DEFINITIONS: Unless otherwise defined in this BAA, all acronyms used in this BAA have the</w:t>
      </w:r>
    </w:p>
    <w:p w14:paraId="7E941D8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meanings ascribed in the HIPAA Regulations, provided; however, that PHI and ePHI shall mean</w:t>
      </w:r>
    </w:p>
    <w:p w14:paraId="133E39D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Protected Health Information and Electronic Protected Health Information, respectively, per 45</w:t>
      </w:r>
    </w:p>
    <w:p w14:paraId="553C8BA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C.F.R. § 160.103, limited to the information the business associate received from, created, or</w:t>
      </w:r>
    </w:p>
    <w:p w14:paraId="0EC623C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received on behalf of DHS as a DHS business associate. Administrative safeguards shall have the</w:t>
      </w:r>
    </w:p>
    <w:p w14:paraId="6257D6F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same meaning as the term administrative safeguards in 45 C.F.R. § 164.304, with the exception that</w:t>
      </w:r>
    </w:p>
    <w:p w14:paraId="5EDED91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it shall apply to the management of the conduct of the business associate workforce, not the DHS</w:t>
      </w:r>
    </w:p>
    <w:p w14:paraId="263AF78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workforce, in relation to the protection of that information.</w:t>
      </w:r>
    </w:p>
    <w:p w14:paraId="3F3714B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Business associate. Business associate shall generally have the same meaning as the term</w:t>
      </w:r>
    </w:p>
    <w:p w14:paraId="3F238BE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business associate per 45 C.F.R. 160.103, and in reference to the party to this agreement, shall</w:t>
      </w:r>
    </w:p>
    <w:p w14:paraId="51BBC0D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mean the entity whose name appears below.</w:t>
      </w:r>
    </w:p>
    <w:p w14:paraId="2AE1C55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Covered entity. Covered entity shall generally have the same meaning as the term covered entity</w:t>
      </w:r>
    </w:p>
    <w:p w14:paraId="325D185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per 45 C.F.R. 160.103.</w:t>
      </w:r>
    </w:p>
    <w:p w14:paraId="387A904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HIPAA rules. HIPAA rules shall mean the Privacy, Security, Breach Notification, and Enforcement</w:t>
      </w:r>
    </w:p>
    <w:p w14:paraId="50FCC34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Rules, per 45 C.F.R. Part 160 and Part 164, as may be amended.</w:t>
      </w:r>
    </w:p>
    <w:p w14:paraId="0BDBBD4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following terms used in this BAA shall have the same meaning as those terms in the HIPAA</w:t>
      </w:r>
    </w:p>
    <w:p w14:paraId="07F921C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Rules: Breach, Data Aggregation, Designated Record Set, Disclosure, Health Care Operations,</w:t>
      </w:r>
    </w:p>
    <w:p w14:paraId="7B910EE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Individual, Minimum Necessary, Notice of Privacy Practices, Protected Health Information, Required</w:t>
      </w:r>
    </w:p>
    <w:p w14:paraId="06F6992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By law, Secretary, Security Incident, Sub-Contractor, Unsecured PHI, and Use.</w:t>
      </w:r>
    </w:p>
    <w:p w14:paraId="3D5F2F9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Obligations of the business associate: The business associate may use ePHI and PHI solely to</w:t>
      </w:r>
    </w:p>
    <w:p w14:paraId="07B157F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perform its duties and responsibilities under this BAA and only as provided in this BAA. The</w:t>
      </w:r>
    </w:p>
    <w:p w14:paraId="3988B41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business associate acknowledges and agrees that PHI is confidential and shall not be used or</w:t>
      </w:r>
    </w:p>
    <w:p w14:paraId="4C70A40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disclosed, in whole or in part, except as provided in this BAA or as required by law. Specifically, the</w:t>
      </w:r>
    </w:p>
    <w:p w14:paraId="18516EB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business associate agrees it shall:</w:t>
      </w:r>
    </w:p>
    <w:p w14:paraId="0710677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a. use or further disclose PHI only as permitted in this BAA or as required by law including, but</w:t>
      </w:r>
    </w:p>
    <w:p w14:paraId="1B5D76E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not limited to the Privacy and Security Rule;</w:t>
      </w:r>
    </w:p>
    <w:p w14:paraId="6BA64FE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b. use appropriate safeguards, and comply with Subpart C of 45 C.F.R. Part 164 with respect to</w:t>
      </w:r>
    </w:p>
    <w:p w14:paraId="6653692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ePHI, to prevent use or disclosure of PHI other than as provided for by this BAA;</w:t>
      </w:r>
    </w:p>
    <w:p w14:paraId="28F5746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c. implement and document appropriate administrative, physical, and technical safeguards to</w:t>
      </w:r>
    </w:p>
    <w:p w14:paraId="6B7F639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protect the confidentiality, integrity, and availability of PHI that it creates, receives, maintains,</w:t>
      </w:r>
    </w:p>
    <w:p w14:paraId="111C7F5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Form 23CO192E 1/1/2019 Page 4 of 9</w:t>
      </w:r>
    </w:p>
    <w:p w14:paraId="0D4DB3E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or transmits for, or on behalf of, a covered entity per 45 C.F.R. 164;</w:t>
      </w:r>
    </w:p>
    <w:p w14:paraId="78FA639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d. implement and document administrative safeguards to prevent, detect, contain, and correct</w:t>
      </w:r>
    </w:p>
    <w:p w14:paraId="38CBF2D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security violations per 45 C.F.R. 164;</w:t>
      </w:r>
    </w:p>
    <w:p w14:paraId="03312C7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e. make its policies and procedures required by the Security Rule available to the covered entity</w:t>
      </w:r>
    </w:p>
    <w:p w14:paraId="1083370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solely for purposes of verifying the business associate’s compliance and the Secretary of the</w:t>
      </w:r>
    </w:p>
    <w:p w14:paraId="14E20B8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Department of Health and Human Services (HHS);</w:t>
      </w:r>
    </w:p>
    <w:p w14:paraId="3EE1865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f. not receive remuneration from a third party in exchange for disclosing PHI received from or</w:t>
      </w:r>
    </w:p>
    <w:p w14:paraId="6CECD12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on behalf of the covered entity;</w:t>
      </w:r>
    </w:p>
    <w:p w14:paraId="54210C4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g. per 45 C.F.R. 164.502(e)(1) and 164.308(b), when applicable, ensure that any subcontractors</w:t>
      </w:r>
    </w:p>
    <w:p w14:paraId="12DFE4E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that create, receive, maintain, or transmit PHI on behalf of the business associate</w:t>
      </w:r>
    </w:p>
    <w:p w14:paraId="325DD3E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agree to the same restrictions, conditions, and requirements that apply to the business</w:t>
      </w:r>
    </w:p>
    <w:p w14:paraId="5497182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associate with respect to such information; this shall be in the form of a written HIPAA</w:t>
      </w:r>
    </w:p>
    <w:p w14:paraId="4386D58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business associate contract and a fully-executed copy will be provided to the contract</w:t>
      </w:r>
    </w:p>
    <w:p w14:paraId="26BA86D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monitor;</w:t>
      </w:r>
    </w:p>
    <w:p w14:paraId="5CD2D38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h. report to the covered entity in writing any use or disclosure of PHI that is not permitted under</w:t>
      </w:r>
    </w:p>
    <w:p w14:paraId="1F0A709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this BAA as soon as reasonably practicable but in no event later than five-calendar days from</w:t>
      </w:r>
    </w:p>
    <w:p w14:paraId="6E8EE6D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becoming aware of it and mitigate, to the extent practicable and in cooperation with the</w:t>
      </w:r>
    </w:p>
    <w:p w14:paraId="7B3A9B9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covered entity, any harmful effects known to it of a use or disclosure made in violation of this</w:t>
      </w:r>
    </w:p>
    <w:p w14:paraId="1270202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BAA;</w:t>
      </w:r>
    </w:p>
    <w:p w14:paraId="728EAE2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776E8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Pr="008776E8">
        <w:rPr>
          <w:rFonts w:ascii="Times New Roman" w:hAnsi="Times New Roman" w:cs="Times New Roman"/>
          <w:b/>
          <w:sz w:val="28"/>
          <w:szCs w:val="28"/>
        </w:rPr>
        <w:t>. promptly report to the covered entity in writing, without unreasonable delay, and in no case</w:t>
      </w:r>
    </w:p>
    <w:p w14:paraId="66BC895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later than five-calendar days any security incident, as defined in the Security Rule, with</w:t>
      </w:r>
    </w:p>
    <w:p w14:paraId="69ED2FF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respect to ePHI;</w:t>
      </w:r>
    </w:p>
    <w:p w14:paraId="4B55BF0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j. with the exception of law enforcement delays that satisfy the requirements of 45 C.F.R.</w:t>
      </w:r>
    </w:p>
    <w:p w14:paraId="338ED83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164.412, notify the covered entity promptly, in writing, without unreasonable delay, and in no</w:t>
      </w:r>
    </w:p>
    <w:p w14:paraId="0A08CFC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case later than five-calendar days, upon the discovery of a breach of unsecured PHI. Such</w:t>
      </w:r>
    </w:p>
    <w:p w14:paraId="0F17E86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notice shall include, to the extent possible, the name of each individual whose unsecured PHI</w:t>
      </w:r>
    </w:p>
    <w:p w14:paraId="233C5CF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was, or is reasonably believed by the business associate to have been accessed, acquired,</w:t>
      </w:r>
    </w:p>
    <w:p w14:paraId="5DC8230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or disclosed during such breach. The business associate shall furnish the covered entity with</w:t>
      </w:r>
    </w:p>
    <w:p w14:paraId="61F4006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any available information that they covered entity is required to include in its notification to</w:t>
      </w:r>
    </w:p>
    <w:p w14:paraId="68C0793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individuals per 45 C.F.R. § 164.404(c) at the time of the business associate’s notification to</w:t>
      </w:r>
    </w:p>
    <w:p w14:paraId="3AF6E7E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covered entity or promptly thereafter as such information becomes available. As used in</w:t>
      </w:r>
    </w:p>
    <w:p w14:paraId="2D2A85B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this Section, breach means breach per 45 C.F.R. 164.402;</w:t>
      </w:r>
    </w:p>
    <w:p w14:paraId="5358BBA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k. to the extent allowed by law, indemnify and hold the covered entity harmless from all claims,</w:t>
      </w:r>
    </w:p>
    <w:p w14:paraId="0E2417B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liabilities, costs, and damages arising out of, or in any manner related to, the disclosure by</w:t>
      </w:r>
    </w:p>
    <w:p w14:paraId="19AF833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business associate of any PHI or to the breach by a business associate of any obligation</w:t>
      </w:r>
    </w:p>
    <w:p w14:paraId="7D4A328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related to PHI;</w:t>
      </w:r>
    </w:p>
    <w:p w14:paraId="2281DC9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l. provide access to PHI in a designated record set to the covered entity, or when directed by</w:t>
      </w:r>
    </w:p>
    <w:p w14:paraId="6AF9058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covered entity, to an individual in order to meet the requirements of 45 C.F.R. 164.524. In</w:t>
      </w:r>
    </w:p>
    <w:p w14:paraId="6E567A2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event that any individual request access to PHI directly from the business associate, the</w:t>
      </w:r>
    </w:p>
    <w:p w14:paraId="069980F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business associate shall forward such request to the covered entity within five-business days</w:t>
      </w:r>
    </w:p>
    <w:p w14:paraId="49F63AC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of receiving a request. This shall be in the form of a written HIPAA business associate</w:t>
      </w:r>
    </w:p>
    <w:p w14:paraId="0638FDF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contract and a fully executed copy will be provided to the contract monitor. Any denials of</w:t>
      </w:r>
    </w:p>
    <w:p w14:paraId="5372DBB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access to the PHI requested shall be the responsibility of the covered entity;</w:t>
      </w:r>
    </w:p>
    <w:p w14:paraId="7864F60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m. make PHI available to the covered entity for amendment and incorporate any amendments to</w:t>
      </w:r>
    </w:p>
    <w:p w14:paraId="543EEA2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PHI per 45 C.F.R. § 164.526;</w:t>
      </w:r>
    </w:p>
    <w:p w14:paraId="0CAA510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n. document disclosure of PHI and information related to such disclosure as would be required</w:t>
      </w:r>
    </w:p>
    <w:p w14:paraId="7CF4735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for the covered entity to respond to a request by an individual for an accounting of disclosures</w:t>
      </w:r>
    </w:p>
    <w:p w14:paraId="48F9574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of PHI, per 45 C.F.R. 164.528, and within five-business days of receiving a request from the</w:t>
      </w:r>
    </w:p>
    <w:p w14:paraId="2095F8B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Form 23CO192E 1/1/2019 Page 5 of 9</w:t>
      </w:r>
    </w:p>
    <w:p w14:paraId="3473479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covered entity, make such disclosure documentation and information available to the covered</w:t>
      </w:r>
    </w:p>
    <w:p w14:paraId="458F48A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entity. In the event the request for an accounting is delivered directly to the business</w:t>
      </w:r>
    </w:p>
    <w:p w14:paraId="24E2D06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associate, the business associate shall forward within five-business days of receiving a</w:t>
      </w:r>
    </w:p>
    <w:p w14:paraId="2C6135C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request to the covered entity;</w:t>
      </w:r>
    </w:p>
    <w:p w14:paraId="285864D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o. make its internal practices, books, and records related to the use and disclosure of PHI</w:t>
      </w:r>
    </w:p>
    <w:p w14:paraId="62214E4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received from, or created or received by, the business associate on behalf of the covered</w:t>
      </w:r>
    </w:p>
    <w:p w14:paraId="32C46F7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entity available to the Secretary of the Department of HHS, authorized governmental officials,</w:t>
      </w:r>
    </w:p>
    <w:p w14:paraId="34F48C6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and the covered entity for the purpose of determining the business associate’s compliance</w:t>
      </w:r>
    </w:p>
    <w:p w14:paraId="24BC494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with the Privacy Rule. The business associate shall give the covered entity advance written</w:t>
      </w:r>
    </w:p>
    <w:p w14:paraId="66530EA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notice of HHS or government officials' requests and provide the covered entity with a copy of</w:t>
      </w:r>
    </w:p>
    <w:p w14:paraId="1B66779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all documents made available; and</w:t>
      </w:r>
    </w:p>
    <w:p w14:paraId="45076C1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p. ensure that all of its sub-contractors, vendors, and agents to whom it provides PHI or who</w:t>
      </w:r>
    </w:p>
    <w:p w14:paraId="48C9C48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create, receive, use, disclose, maintain, or have access to the covered entity’s PHI shall</w:t>
      </w:r>
    </w:p>
    <w:p w14:paraId="7F86698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agree in writing to requirements, restrictions, and conditions at least as stringent as those that</w:t>
      </w:r>
    </w:p>
    <w:p w14:paraId="628A659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apply to the business associate under this BAA, including, but not limited to, implementing</w:t>
      </w:r>
    </w:p>
    <w:p w14:paraId="7268F34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reasonable and appropriate safeguards to protect PHI, and shall ensure that its subcontractors,</w:t>
      </w:r>
    </w:p>
    <w:p w14:paraId="3F4AC4D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vendors, and agents agree to indemnify and hold harmless covered entity for</w:t>
      </w:r>
    </w:p>
    <w:p w14:paraId="326D328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failure to comply with each of the provisions of this BAA.</w:t>
      </w:r>
    </w:p>
    <w:p w14:paraId="223781F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Business associate PHI uses and disclosures: Except as otherwise provided in this BAA, the</w:t>
      </w:r>
    </w:p>
    <w:p w14:paraId="46829BC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business associate may use or disclose PHI on behalf of, or to provide services to the covered entity</w:t>
      </w:r>
    </w:p>
    <w:p w14:paraId="1B9FFFF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for the purposes specified in this BAA, when such use or disclosure of PHI would not violate the</w:t>
      </w:r>
    </w:p>
    <w:p w14:paraId="642B36D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Privacy Rule when done by a covered entity. Unless otherwise limited herein, the business</w:t>
      </w:r>
    </w:p>
    <w:p w14:paraId="68E3B1F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associate may:</w:t>
      </w:r>
    </w:p>
    <w:p w14:paraId="022F451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a. use PHI for its proper management and administration or to fulfill any business associate</w:t>
      </w:r>
    </w:p>
    <w:p w14:paraId="6A7A86E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present or future legal responsibilities;</w:t>
      </w:r>
    </w:p>
    <w:p w14:paraId="799730C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b. disclose PHI for its proper management and administration, or to fulfill any present or future</w:t>
      </w:r>
    </w:p>
    <w:p w14:paraId="38381F3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legal responsibilities of the business associate, provided that; (</w:t>
      </w:r>
      <w:proofErr w:type="spellStart"/>
      <w:r w:rsidRPr="008776E8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Pr="008776E8">
        <w:rPr>
          <w:rFonts w:ascii="Times New Roman" w:hAnsi="Times New Roman" w:cs="Times New Roman"/>
          <w:b/>
          <w:sz w:val="28"/>
          <w:szCs w:val="28"/>
        </w:rPr>
        <w:t>) the disclosures required by</w:t>
      </w:r>
    </w:p>
    <w:p w14:paraId="5C1316E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law; or (ii) the business associate obtains reasonable assurances from any person to whom</w:t>
      </w:r>
    </w:p>
    <w:p w14:paraId="6361F75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PHI is disclosed, that such PHI will be kept confidential and will be used or further</w:t>
      </w:r>
    </w:p>
    <w:p w14:paraId="405B1F5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disclosed only as required by law, or for the purpose(s) for which it was disclosed to the</w:t>
      </w:r>
    </w:p>
    <w:p w14:paraId="02CD6EA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person, and the person commits to notifying the business associate of any instances of which</w:t>
      </w:r>
    </w:p>
    <w:p w14:paraId="1E1A925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it is aware in which the confidentiality of the PHI was breached;</w:t>
      </w:r>
    </w:p>
    <w:p w14:paraId="7C6C409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c. disclose PHI to report violations of law to appropriate federal and state authorities;</w:t>
      </w:r>
    </w:p>
    <w:p w14:paraId="5FF6A17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d. aggregate the PHI with other data in its possession for purposes of the covered entity’s health</w:t>
      </w:r>
    </w:p>
    <w:p w14:paraId="139C5C1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care operations;</w:t>
      </w:r>
    </w:p>
    <w:p w14:paraId="7084E73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e. make uses, disclosures and requests for PHI consistent with the covered entity’s minimum</w:t>
      </w:r>
    </w:p>
    <w:p w14:paraId="35A7308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necessary policies and procedures; and</w:t>
      </w:r>
    </w:p>
    <w:p w14:paraId="69FD752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f. de-identify any and all PHI obtained by the business associate under this BAA, and use such</w:t>
      </w:r>
    </w:p>
    <w:p w14:paraId="3B83FEE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de-identified data, in accordance with the de-identification requirements of the Privacy Rule</w:t>
      </w:r>
    </w:p>
    <w:p w14:paraId="51D7DF4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per 45 C.F.R. § (d)(1).</w:t>
      </w:r>
    </w:p>
    <w:p w14:paraId="619D996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Obligations of the covered entity:</w:t>
      </w:r>
    </w:p>
    <w:p w14:paraId="76140DB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a. The covered entity shall notify the business associate of any changes in, or revocation of, the</w:t>
      </w:r>
    </w:p>
    <w:p w14:paraId="7A5F0FE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permission by an individual to use or disclose his or her PHI, to the extent that such changes</w:t>
      </w:r>
    </w:p>
    <w:p w14:paraId="2BF101E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may affect the business associate’s use or disclosure of PHI.</w:t>
      </w:r>
    </w:p>
    <w:p w14:paraId="57E1F82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b. The covered entity shall notify the business associate of any restriction on the use or</w:t>
      </w:r>
    </w:p>
    <w:p w14:paraId="12FA64E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disclosure of PHI that the covered entity has agreed to, or is required to abide by, per 45</w:t>
      </w:r>
    </w:p>
    <w:p w14:paraId="2AFD151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Form 23CO192E 1/1/2019 Page 6 of 9</w:t>
      </w:r>
    </w:p>
    <w:p w14:paraId="4A1E9E7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C.F.R. § 164.522, to the extent that such restriction may affect business associate’s PHI use</w:t>
      </w:r>
    </w:p>
    <w:p w14:paraId="13B150C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or disclosure.</w:t>
      </w:r>
    </w:p>
    <w:p w14:paraId="1473F80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c. The covered entity shall not request the business associate use or disclose PHI in any</w:t>
      </w:r>
    </w:p>
    <w:p w14:paraId="3FFFA87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manner that would violate the Privacy Rule when done by the covered entity.</w:t>
      </w:r>
    </w:p>
    <w:p w14:paraId="4DEEE1B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d. DHS agrees to timely notify the business associate, in writing, of any arrangements between</w:t>
      </w:r>
    </w:p>
    <w:p w14:paraId="6055959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DHS and the individual that is the subject of PHI that may impact in any manner the use and/</w:t>
      </w:r>
    </w:p>
    <w:p w14:paraId="4E59EFC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or disclosure of the PHI by the business associate under this BAA.</w:t>
      </w:r>
    </w:p>
    <w:p w14:paraId="6B51225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Term and termination:</w:t>
      </w:r>
    </w:p>
    <w:p w14:paraId="229EB35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a. Term. The term of this BAA shall be effective as of the date of the underlying BAA, and shall</w:t>
      </w:r>
    </w:p>
    <w:p w14:paraId="3D535E6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terminate on the date the underlying BAA terminates or on the date the covered entity</w:t>
      </w:r>
    </w:p>
    <w:p w14:paraId="425AA0E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terminates for cause as authorized in paragraph (b) of this Section, whichever is sooner.</w:t>
      </w:r>
    </w:p>
    <w:p w14:paraId="29DB192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b. Termination for cause. The business associate authorizes termination of this BAA by the</w:t>
      </w:r>
    </w:p>
    <w:p w14:paraId="555FD9B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covered entity, when the covered entity determines the business associate violated a material</w:t>
      </w:r>
    </w:p>
    <w:p w14:paraId="592FE2F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term of the BAA and the business associate did not cure the breach or end the violation within</w:t>
      </w:r>
    </w:p>
    <w:p w14:paraId="1D234BB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time the covered entity specified, when a cure period is specified.</w:t>
      </w:r>
    </w:p>
    <w:p w14:paraId="6E1C7C7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c. Business associate obligations upon termination. Upon termination of this BAA for any reason,</w:t>
      </w:r>
    </w:p>
    <w:p w14:paraId="55E03BB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business associate, with respect to PHI received from the covered entity, or created,</w:t>
      </w:r>
    </w:p>
    <w:p w14:paraId="165FF52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maintained, or received by the business associate on behalf of the covered entity, shall:</w:t>
      </w:r>
    </w:p>
    <w:p w14:paraId="7A4CEE4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1. retain only that PHI that is necessary for the business associate to continue its proper</w:t>
      </w:r>
    </w:p>
    <w:p w14:paraId="745DDF1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management and administration or to carry out its legal responsibilities;</w:t>
      </w:r>
    </w:p>
    <w:p w14:paraId="5044C30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2. return or destroy the remaining PHI the business associate maintains in any form to the</w:t>
      </w:r>
    </w:p>
    <w:p w14:paraId="78FAFAF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covered entity;</w:t>
      </w:r>
    </w:p>
    <w:p w14:paraId="4F7AFFF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3. continue to use appropriate safeguards and comply with Subpart C of 45 C.F.R. Part</w:t>
      </w:r>
    </w:p>
    <w:p w14:paraId="3CBA9AF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164 with respect to PHI to prevent use or disclosure of PHI, other than as provided for</w:t>
      </w:r>
    </w:p>
    <w:p w14:paraId="5DD7053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in this Section, for as long as the business associate retains PHI;</w:t>
      </w:r>
    </w:p>
    <w:p w14:paraId="1CEEE30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4. not use or disclose PHI retained by the business associate other than for the purposes</w:t>
      </w:r>
    </w:p>
    <w:p w14:paraId="138815D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for which such PHI was retained and subject to the same conditions, per Permitted</w:t>
      </w:r>
    </w:p>
    <w:p w14:paraId="66BA25C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Uses and Disclosures By Business Associate that applied prior to termination; and</w:t>
      </w:r>
    </w:p>
    <w:p w14:paraId="0E48333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5. return or destroy PHI retained by the business associate when it is no longer needed by</w:t>
      </w:r>
    </w:p>
    <w:p w14:paraId="02E26CE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business associate for its proper management and administration, or to carry out its</w:t>
      </w:r>
    </w:p>
    <w:p w14:paraId="43778C5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legal responsibilities.</w:t>
      </w:r>
    </w:p>
    <w:p w14:paraId="5C4EC91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d. All other business associate under this BAA shall survive termination.</w:t>
      </w:r>
    </w:p>
    <w:p w14:paraId="55850A5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Should DHS become aware of a pattern of activity or practice that constitutes a material breach of a</w:t>
      </w:r>
    </w:p>
    <w:p w14:paraId="6BE9772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material term of this BAA by the business associate, DHS shall provide the business associate with</w:t>
      </w:r>
    </w:p>
    <w:p w14:paraId="768DEA9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written notice of such a breach in sufficient detail to enable the contractor to understand the specific</w:t>
      </w:r>
    </w:p>
    <w:p w14:paraId="3D6C81D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nature of the breach. DHS shall be entitled to terminate the underlying contract associated with</w:t>
      </w:r>
    </w:p>
    <w:p w14:paraId="06BDBB6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such breach after DHS provides notice to the business associate, or the business associate fails to</w:t>
      </w:r>
    </w:p>
    <w:p w14:paraId="37CAE49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cure the breach within a reasonable time period not less than 30-calendar days specified by DHS in</w:t>
      </w:r>
    </w:p>
    <w:p w14:paraId="7DAF3E1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such notice; provided, however, that such time period specified by DHS is based on the nature of</w:t>
      </w:r>
    </w:p>
    <w:p w14:paraId="46EE6AD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breach involved, per 45 C.F.R. §§ 164.504(e)(1)(ii)(A),(B) and 164.314 (a)(2)(</w:t>
      </w:r>
      <w:proofErr w:type="spellStart"/>
      <w:r w:rsidRPr="008776E8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Pr="008776E8">
        <w:rPr>
          <w:rFonts w:ascii="Times New Roman" w:hAnsi="Times New Roman" w:cs="Times New Roman"/>
          <w:b/>
          <w:sz w:val="28"/>
          <w:szCs w:val="28"/>
        </w:rPr>
        <w:t>)(D).</w:t>
      </w:r>
    </w:p>
    <w:p w14:paraId="4384F26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MISCELLANEOUS:</w:t>
      </w:r>
    </w:p>
    <w:p w14:paraId="5E54136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Interpretation: The BAA terms shall prevail in the case of any conflict with the terms of any</w:t>
      </w:r>
    </w:p>
    <w:p w14:paraId="5A79939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underlying contract to the extent necessary to allow DHS to comply with the HIPAA Regulations.</w:t>
      </w:r>
    </w:p>
    <w:p w14:paraId="0520BA2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citations to the HIPAA Regulations in this BAA are for reference only and shall not be relevant</w:t>
      </w:r>
    </w:p>
    <w:p w14:paraId="5392A5B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in interpreting any BAA provision.</w:t>
      </w:r>
    </w:p>
    <w:p w14:paraId="3BEC29C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Form 23CO192E 1/1/2019 Page 7 of 9</w:t>
      </w:r>
    </w:p>
    <w:p w14:paraId="6E0ACDD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No third-party beneficiaries: Nothing in this BAA shall confer upon any person other than the</w:t>
      </w:r>
    </w:p>
    <w:p w14:paraId="2F88A80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parties and their respective successors or assigns, any rights, remedies, obligations, or liabilities</w:t>
      </w:r>
    </w:p>
    <w:p w14:paraId="28A3AB8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whatsoever.</w:t>
      </w:r>
    </w:p>
    <w:p w14:paraId="29F730D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business associate recognizes that any material breach of this BAA or breach of confidentiality</w:t>
      </w:r>
    </w:p>
    <w:p w14:paraId="0B1A15D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or misuse of PHI may result in the termination of this BAA and/or legal action. Said termination may</w:t>
      </w:r>
    </w:p>
    <w:p w14:paraId="02C5334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be immediate and need not comply with any termination provision in the parties underlying</w:t>
      </w:r>
    </w:p>
    <w:p w14:paraId="624DC20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agreement, if any.</w:t>
      </w:r>
    </w:p>
    <w:p w14:paraId="5C1A459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parties agree to amend BAA as is necessary for the covered entity or business associate to</w:t>
      </w:r>
    </w:p>
    <w:p w14:paraId="76EC8CA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comply with the requirements of the Privacy Rule, related laws, and regulations.</w:t>
      </w:r>
    </w:p>
    <w:p w14:paraId="6BDD5BA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a. The DHS Notice of Privacy Practices is available at: www.okdhs.org.</w:t>
      </w:r>
    </w:p>
    <w:p w14:paraId="2612064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b. Any ambiguity in this BAA shall be resolved in a manner that causes this BAA to comply with</w:t>
      </w:r>
    </w:p>
    <w:p w14:paraId="1C87F8A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HIPAA.</w:t>
      </w:r>
    </w:p>
    <w:p w14:paraId="275B329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c. This BAA embodies and constitutes the entire BAA and understanding between the parties</w:t>
      </w:r>
    </w:p>
    <w:p w14:paraId="70B020A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with respect to the subject matter hereof and supersedes all prior business associate</w:t>
      </w:r>
    </w:p>
    <w:p w14:paraId="2FE2363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agreements, written or verbal, commitments, and understandings pertaining to the subject</w:t>
      </w:r>
    </w:p>
    <w:p w14:paraId="1446734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matter hereof.</w:t>
      </w:r>
    </w:p>
    <w:p w14:paraId="6DC17DC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d. When the business associate maintains a designated record set in an electronic format on</w:t>
      </w:r>
    </w:p>
    <w:p w14:paraId="330409D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behalf of the covered entity, then the business associate agrees that within 30-calendar days</w:t>
      </w:r>
    </w:p>
    <w:p w14:paraId="3CFAA4B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of expiration or termination of the parties’ agreement, the business associate shall provide the</w:t>
      </w:r>
    </w:p>
    <w:p w14:paraId="768E0D5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covered entity a complete report of all disclosures and access to the designated record set</w:t>
      </w:r>
    </w:p>
    <w:p w14:paraId="42A2D56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covering three years immediately preceding the termination or expiration. The report shall</w:t>
      </w:r>
    </w:p>
    <w:p w14:paraId="7BE130D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include patient name, date and time of disclosures/access, description of what was disclosed/</w:t>
      </w:r>
    </w:p>
    <w:p w14:paraId="091CC92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accessed, purpose of disclosure/access, name of individual who received or accessed the</w:t>
      </w:r>
    </w:p>
    <w:p w14:paraId="305DDDF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information, and, when available, what action taken within the designated record set.</w:t>
      </w:r>
    </w:p>
    <w:p w14:paraId="1C19562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Amendment:</w:t>
      </w:r>
    </w:p>
    <w:p w14:paraId="130ACE9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To the extent that any relevant provision of the HIPAA Regulations is materially amended in a</w:t>
      </w:r>
    </w:p>
    <w:p w14:paraId="20A4481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manner that changes the obligations of the business associates or covered entities, the parties</w:t>
      </w:r>
    </w:p>
    <w:p w14:paraId="596DFD3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agree to negotiate in good faith appropriate amendment(s) to this BAA to give effect to these revised</w:t>
      </w:r>
    </w:p>
    <w:p w14:paraId="6B97C13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obligations. The parties agree to amend this BAA as is necessary for the covered entity or to comply</w:t>
      </w:r>
    </w:p>
    <w:p w14:paraId="37DBD7C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with the requirements and related laws and regulations.</w:t>
      </w:r>
    </w:p>
    <w:p w14:paraId="07F10EA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2.0 Information Technology</w:t>
      </w:r>
    </w:p>
    <w:p w14:paraId="45CC336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2.1 Response and material ownership</w:t>
      </w:r>
    </w:p>
    <w:p w14:paraId="45DDA1C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Title to all source data, information, and materials furnished to DHS, together with all plans, system</w:t>
      </w:r>
    </w:p>
    <w:p w14:paraId="62935C0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analysis, and design specifications and drawings, completed programs and documentation thereof,</w:t>
      </w:r>
    </w:p>
    <w:p w14:paraId="4A3F50F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reports and listing, all data and test procedures, and all other items pertaining to the work and</w:t>
      </w:r>
    </w:p>
    <w:p w14:paraId="7A12D3D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services to be performed pursuant to this contract, including any copyright, shall become the</w:t>
      </w:r>
    </w:p>
    <w:p w14:paraId="3F551E4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property of the state. Such ownership does not extend to proprietary source data, information,</w:t>
      </w:r>
    </w:p>
    <w:p w14:paraId="3F77F89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materials, or other property, both tangible and intangible brought in by the contractor for use on any</w:t>
      </w:r>
    </w:p>
    <w:p w14:paraId="78888E6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project. This section shall not be construed to alter or diminish ownership rights provided under</w:t>
      </w:r>
    </w:p>
    <w:p w14:paraId="29CCAFB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federal or state law or regulations.</w:t>
      </w:r>
    </w:p>
    <w:p w14:paraId="2C7D90F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2.2 Source code escrow</w:t>
      </w:r>
    </w:p>
    <w:p w14:paraId="682E2D6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No state agency, per 75 O.S. § 250.3, nor the OMES/Central Purchasing Division unless otherwise</w:t>
      </w:r>
    </w:p>
    <w:p w14:paraId="4E9025E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provided by federal law, shall enter into a contract for the acquisition of customized computer</w:t>
      </w:r>
    </w:p>
    <w:p w14:paraId="0B09E65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software developed or modified exclusively for the agency or the state, unless the contractor agrees</w:t>
      </w:r>
    </w:p>
    <w:p w14:paraId="15D60A3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Form 23CO192E 1/1/2019 Page 8 of 9</w:t>
      </w:r>
    </w:p>
    <w:p w14:paraId="4F51E64C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to place into escrow with an independent third party the source code for the software and/or</w:t>
      </w:r>
    </w:p>
    <w:p w14:paraId="13FCCC0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modifications.</w:t>
      </w:r>
    </w:p>
    <w:p w14:paraId="642CCB6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Source code means the programming instruction for a computer program in its original form, created</w:t>
      </w:r>
    </w:p>
    <w:p w14:paraId="2584804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by a programmer with a text editor or a visual programming tool and saved in a file.</w:t>
      </w:r>
    </w:p>
    <w:p w14:paraId="673A8E77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contractor must agree to place the source code for the software and any upgrades supplied to</w:t>
      </w:r>
    </w:p>
    <w:p w14:paraId="4C78678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an agency in escrow with a third party acceptable to the agency and to enter into a customary</w:t>
      </w:r>
    </w:p>
    <w:p w14:paraId="4228D9B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source code escrow agreement that includes a provision that entitles the agency to receive</w:t>
      </w:r>
    </w:p>
    <w:p w14:paraId="343557B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everything held in escrow upon the occurrence of any of the following:</w:t>
      </w:r>
    </w:p>
    <w:p w14:paraId="7D72C23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· a bona fide material default of the obligations by the contractor;</w:t>
      </w:r>
    </w:p>
    <w:p w14:paraId="3691EE2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· an assignment by the contractor for the benefit of its creditors;</w:t>
      </w:r>
    </w:p>
    <w:p w14:paraId="176957B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· a failure by the contractor to pay, or an admission by the contractor of its inability to pay its</w:t>
      </w:r>
    </w:p>
    <w:p w14:paraId="3F568DE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debts as they mature;</w:t>
      </w:r>
    </w:p>
    <w:p w14:paraId="768F886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· the filing of a petition in bankruptcy by or against the contractor when such petition is not</w:t>
      </w:r>
    </w:p>
    <w:p w14:paraId="7B709FF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dismissed within 60-calendar days of the filing date;</w:t>
      </w:r>
    </w:p>
    <w:p w14:paraId="2AB5008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· the appointment of a receiver, liquidator, or trustee appointed for any substantial part of the</w:t>
      </w:r>
    </w:p>
    <w:p w14:paraId="7CE1E70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contractor property;</w:t>
      </w:r>
    </w:p>
    <w:p w14:paraId="0168C2E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· the inability or unwillingness of the contractor to provide the maintenance and support</w:t>
      </w:r>
    </w:p>
    <w:p w14:paraId="2B0AA76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services in accordance with this contract; or</w:t>
      </w:r>
    </w:p>
    <w:p w14:paraId="52C437A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· the ceasing of the contractor of maintenance and support of the software.</w:t>
      </w:r>
    </w:p>
    <w:p w14:paraId="4C984AAA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fees of any third-party escrow agent subject to this section shall be borne by the contractor.</w:t>
      </w:r>
    </w:p>
    <w:p w14:paraId="09752C1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2.3 Electronic and information technology accessibility standards</w:t>
      </w:r>
    </w:p>
    <w:p w14:paraId="6F28F0A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Pursuant to Oklahoma Administrative Code 260:15-1-3 electronic and information technology</w:t>
      </w:r>
    </w:p>
    <w:p w14:paraId="10A60EE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procurements, agreements, and contracts shall comply with applicable Oklahoma Information</w:t>
      </w:r>
    </w:p>
    <w:p w14:paraId="4D9605F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Technology Accessibility Standards issued by OMES. EIT standards may be found at: http://</w:t>
      </w:r>
    </w:p>
    <w:p w14:paraId="0F70877D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www.ok.gov/cio/Policy_and_Standards/.</w:t>
      </w:r>
    </w:p>
    <w:p w14:paraId="6B0A924F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2.3.1 Information technology or communications products, systems, and applications not</w:t>
      </w:r>
    </w:p>
    <w:p w14:paraId="0F9BE0FB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requiring development and/or customization</w:t>
      </w:r>
    </w:p>
    <w:p w14:paraId="6A12AF7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contractor shall provide a description of conformance with the applicable Oklahoma Information</w:t>
      </w:r>
    </w:p>
    <w:p w14:paraId="69E2172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Technology Accessibility Standards for the proposed product, system, or application by means of</w:t>
      </w:r>
    </w:p>
    <w:p w14:paraId="219E685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either a Voluntary Product Accessibility Template (VPAT) or other comparable document, upon</w:t>
      </w:r>
    </w:p>
    <w:p w14:paraId="5514B3A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request. The contractor shall indemnify and hold harmless the State of Oklahoma and any</w:t>
      </w:r>
    </w:p>
    <w:p w14:paraId="163D11C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Oklahoma Government entity purchasing the products, systems, or applications not requiring</w:t>
      </w:r>
    </w:p>
    <w:p w14:paraId="3FDF6EF5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lastRenderedPageBreak/>
        <w:t>development and/or customized by the contractor from any claim arising out of the contractor’s</w:t>
      </w:r>
    </w:p>
    <w:p w14:paraId="79B09646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failure to comply with applicable Oklahoma Information Technology Accessibility Standards</w:t>
      </w:r>
    </w:p>
    <w:p w14:paraId="06820381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subsequent to providing certification of compliance to such standards.</w:t>
      </w:r>
    </w:p>
    <w:p w14:paraId="44CD19F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2.3.2 Information technology or communications products, systems or applications requiring</w:t>
      </w:r>
    </w:p>
    <w:p w14:paraId="0B692798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development and/or customization</w:t>
      </w:r>
    </w:p>
    <w:p w14:paraId="5C209B0E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contractor shall provide a description of conformance with the applicable Oklahoma Information</w:t>
      </w:r>
    </w:p>
    <w:p w14:paraId="69E941B3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Technology Accessibility Standards for the proposed product, system, or application developed and/</w:t>
      </w:r>
    </w:p>
    <w:p w14:paraId="348A532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or customized by means of either a VPAT or other comparable document, upon request. Additional</w:t>
      </w:r>
    </w:p>
    <w:p w14:paraId="39A50B49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requirements and documentation may be required and compliance will be necessary on the</w:t>
      </w:r>
    </w:p>
    <w:p w14:paraId="0BAEBCA0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contractor’s part. Such requirements will be stated in documents, such as State Bids, Request for</w:t>
      </w:r>
    </w:p>
    <w:p w14:paraId="4986F614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Proposals, Contracts, Agreements, Purchase Orders, and Amendments.</w:t>
      </w:r>
    </w:p>
    <w:p w14:paraId="599B40B2" w14:textId="77777777" w:rsidR="008776E8" w:rsidRPr="008776E8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The contractor shall indemnify and hold harmless the State of Oklahoma and any Oklahoma</w:t>
      </w:r>
    </w:p>
    <w:p w14:paraId="6E835592" w14:textId="340DC7EE" w:rsidR="008776E8" w:rsidRPr="00C24841" w:rsidRDefault="008776E8" w:rsidP="008776E8">
      <w:pPr>
        <w:rPr>
          <w:rFonts w:ascii="Times New Roman" w:hAnsi="Times New Roman" w:cs="Times New Roman"/>
          <w:b/>
          <w:sz w:val="28"/>
          <w:szCs w:val="28"/>
        </w:rPr>
      </w:pPr>
      <w:r w:rsidRPr="008776E8">
        <w:rPr>
          <w:rFonts w:ascii="Times New Roman" w:hAnsi="Times New Roman" w:cs="Times New Roman"/>
          <w:b/>
          <w:sz w:val="28"/>
          <w:szCs w:val="28"/>
        </w:rPr>
        <w:t>Form 23CO192E 1/1/2019 Page 9 of 9</w:t>
      </w:r>
    </w:p>
    <w:sectPr w:rsidR="008776E8" w:rsidRPr="00C248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4226A"/>
    <w:multiLevelType w:val="hybridMultilevel"/>
    <w:tmpl w:val="CD7ED3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A6408"/>
    <w:multiLevelType w:val="multilevel"/>
    <w:tmpl w:val="829E7AA2"/>
    <w:lvl w:ilvl="0">
      <w:start w:val="2"/>
      <w:numFmt w:val="upperLetter"/>
      <w:lvlText w:val="%1."/>
      <w:lvlJc w:val="left"/>
      <w:pPr>
        <w:ind w:left="1147" w:hanging="660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>
      <w:start w:val="1"/>
      <w:numFmt w:val="upperLetter"/>
      <w:lvlText w:val="%2."/>
      <w:lvlJc w:val="left"/>
      <w:pPr>
        <w:ind w:left="1380" w:hanging="360"/>
        <w:jc w:val="right"/>
      </w:pPr>
      <w:rPr>
        <w:rFonts w:hint="default"/>
        <w:b/>
        <w:bCs/>
        <w:spacing w:val="-6"/>
        <w:w w:val="98"/>
      </w:rPr>
    </w:lvl>
    <w:lvl w:ilvl="2">
      <w:start w:val="1"/>
      <w:numFmt w:val="decimal"/>
      <w:lvlText w:val="%2.%3."/>
      <w:lvlJc w:val="left"/>
      <w:pPr>
        <w:ind w:left="1207" w:hanging="720"/>
      </w:pPr>
      <w:rPr>
        <w:rFonts w:hint="default"/>
        <w:b/>
        <w:bCs/>
        <w:spacing w:val="-3"/>
        <w:w w:val="100"/>
      </w:rPr>
    </w:lvl>
    <w:lvl w:ilvl="3">
      <w:start w:val="1"/>
      <w:numFmt w:val="decimal"/>
      <w:lvlText w:val="%2.%3.%4."/>
      <w:lvlJc w:val="left"/>
      <w:pPr>
        <w:ind w:left="2287" w:hanging="1080"/>
      </w:pPr>
      <w:rPr>
        <w:rFonts w:hint="default"/>
        <w:b/>
        <w:bCs/>
        <w:spacing w:val="-3"/>
        <w:w w:val="100"/>
      </w:rPr>
    </w:lvl>
    <w:lvl w:ilvl="4">
      <w:start w:val="1"/>
      <w:numFmt w:val="decimal"/>
      <w:lvlText w:val="%2.%3.%4.%5."/>
      <w:lvlJc w:val="left"/>
      <w:pPr>
        <w:ind w:left="3288" w:hanging="1080"/>
      </w:pPr>
      <w:rPr>
        <w:rFonts w:ascii="Arial" w:eastAsia="Arial" w:hAnsi="Arial" w:cs="Arial" w:hint="default"/>
        <w:spacing w:val="-25"/>
        <w:w w:val="100"/>
        <w:sz w:val="18"/>
        <w:szCs w:val="18"/>
      </w:rPr>
    </w:lvl>
    <w:lvl w:ilvl="5">
      <w:numFmt w:val="bullet"/>
      <w:lvlText w:val="•"/>
      <w:lvlJc w:val="left"/>
      <w:pPr>
        <w:ind w:left="2100" w:hanging="1080"/>
      </w:pPr>
      <w:rPr>
        <w:rFonts w:hint="default"/>
      </w:rPr>
    </w:lvl>
    <w:lvl w:ilvl="6">
      <w:numFmt w:val="bullet"/>
      <w:lvlText w:val="•"/>
      <w:lvlJc w:val="left"/>
      <w:pPr>
        <w:ind w:left="2280" w:hanging="1080"/>
      </w:pPr>
      <w:rPr>
        <w:rFonts w:hint="default"/>
      </w:rPr>
    </w:lvl>
    <w:lvl w:ilvl="7">
      <w:numFmt w:val="bullet"/>
      <w:lvlText w:val="•"/>
      <w:lvlJc w:val="left"/>
      <w:pPr>
        <w:ind w:left="2500" w:hanging="1080"/>
      </w:pPr>
      <w:rPr>
        <w:rFonts w:hint="default"/>
      </w:rPr>
    </w:lvl>
    <w:lvl w:ilvl="8">
      <w:numFmt w:val="bullet"/>
      <w:lvlText w:val="•"/>
      <w:lvlJc w:val="left"/>
      <w:pPr>
        <w:ind w:left="2560" w:hanging="1080"/>
      </w:pPr>
      <w:rPr>
        <w:rFonts w:hint="default"/>
      </w:rPr>
    </w:lvl>
  </w:abstractNum>
  <w:abstractNum w:abstractNumId="2" w15:restartNumberingAfterBreak="0">
    <w:nsid w:val="2A4C6C1C"/>
    <w:multiLevelType w:val="hybridMultilevel"/>
    <w:tmpl w:val="D4B6D2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B3085"/>
    <w:multiLevelType w:val="hybridMultilevel"/>
    <w:tmpl w:val="1116F47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B77911"/>
    <w:multiLevelType w:val="hybridMultilevel"/>
    <w:tmpl w:val="92A2BAB6"/>
    <w:lvl w:ilvl="0" w:tplc="66646A8C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32CC1"/>
    <w:multiLevelType w:val="hybridMultilevel"/>
    <w:tmpl w:val="DC4E25BA"/>
    <w:lvl w:ilvl="0" w:tplc="66646A8C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5237DA"/>
    <w:multiLevelType w:val="hybridMultilevel"/>
    <w:tmpl w:val="FD30AFC6"/>
    <w:lvl w:ilvl="0" w:tplc="66646A8C">
      <w:start w:val="1"/>
      <w:numFmt w:val="lowerRoman"/>
      <w:lvlText w:val="%1."/>
      <w:lvlJc w:val="righ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9B652F8"/>
    <w:multiLevelType w:val="hybridMultilevel"/>
    <w:tmpl w:val="09C40ACC"/>
    <w:lvl w:ilvl="0" w:tplc="7542F054">
      <w:start w:val="1"/>
      <w:numFmt w:val="upperLetter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spacing w:val="-31"/>
        <w:w w:val="1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A7728F3"/>
    <w:multiLevelType w:val="hybridMultilevel"/>
    <w:tmpl w:val="B1DE2D9E"/>
    <w:lvl w:ilvl="0" w:tplc="66646A8C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FFB1B46"/>
    <w:multiLevelType w:val="hybridMultilevel"/>
    <w:tmpl w:val="F9468422"/>
    <w:lvl w:ilvl="0" w:tplc="7542F054">
      <w:start w:val="1"/>
      <w:numFmt w:val="upperLetter"/>
      <w:lvlText w:val="%1."/>
      <w:lvlJc w:val="left"/>
      <w:pPr>
        <w:ind w:left="2647" w:hanging="360"/>
      </w:pPr>
      <w:rPr>
        <w:rFonts w:ascii="Times New Roman" w:eastAsiaTheme="minorHAnsi" w:hAnsi="Times New Roman" w:cs="Times New Roman" w:hint="default"/>
        <w:spacing w:val="-31"/>
        <w:w w:val="1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367" w:hanging="360"/>
      </w:pPr>
    </w:lvl>
    <w:lvl w:ilvl="2" w:tplc="0409001B" w:tentative="1">
      <w:start w:val="1"/>
      <w:numFmt w:val="lowerRoman"/>
      <w:lvlText w:val="%3."/>
      <w:lvlJc w:val="right"/>
      <w:pPr>
        <w:ind w:left="4087" w:hanging="180"/>
      </w:pPr>
    </w:lvl>
    <w:lvl w:ilvl="3" w:tplc="0409000F" w:tentative="1">
      <w:start w:val="1"/>
      <w:numFmt w:val="decimal"/>
      <w:lvlText w:val="%4."/>
      <w:lvlJc w:val="left"/>
      <w:pPr>
        <w:ind w:left="4807" w:hanging="360"/>
      </w:pPr>
    </w:lvl>
    <w:lvl w:ilvl="4" w:tplc="04090019" w:tentative="1">
      <w:start w:val="1"/>
      <w:numFmt w:val="lowerLetter"/>
      <w:lvlText w:val="%5."/>
      <w:lvlJc w:val="left"/>
      <w:pPr>
        <w:ind w:left="5527" w:hanging="360"/>
      </w:pPr>
    </w:lvl>
    <w:lvl w:ilvl="5" w:tplc="0409001B" w:tentative="1">
      <w:start w:val="1"/>
      <w:numFmt w:val="lowerRoman"/>
      <w:lvlText w:val="%6."/>
      <w:lvlJc w:val="right"/>
      <w:pPr>
        <w:ind w:left="6247" w:hanging="180"/>
      </w:pPr>
    </w:lvl>
    <w:lvl w:ilvl="6" w:tplc="0409000F" w:tentative="1">
      <w:start w:val="1"/>
      <w:numFmt w:val="decimal"/>
      <w:lvlText w:val="%7."/>
      <w:lvlJc w:val="left"/>
      <w:pPr>
        <w:ind w:left="6967" w:hanging="360"/>
      </w:pPr>
    </w:lvl>
    <w:lvl w:ilvl="7" w:tplc="04090019" w:tentative="1">
      <w:start w:val="1"/>
      <w:numFmt w:val="lowerLetter"/>
      <w:lvlText w:val="%8."/>
      <w:lvlJc w:val="left"/>
      <w:pPr>
        <w:ind w:left="7687" w:hanging="360"/>
      </w:pPr>
    </w:lvl>
    <w:lvl w:ilvl="8" w:tplc="0409001B" w:tentative="1">
      <w:start w:val="1"/>
      <w:numFmt w:val="lowerRoman"/>
      <w:lvlText w:val="%9."/>
      <w:lvlJc w:val="right"/>
      <w:pPr>
        <w:ind w:left="8407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7"/>
  </w:num>
  <w:num w:numId="7">
    <w:abstractNumId w:val="8"/>
  </w:num>
  <w:num w:numId="8">
    <w:abstractNumId w:val="4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795"/>
    <w:rsid w:val="0001169C"/>
    <w:rsid w:val="00035F70"/>
    <w:rsid w:val="00037B74"/>
    <w:rsid w:val="000550DA"/>
    <w:rsid w:val="00096500"/>
    <w:rsid w:val="00156816"/>
    <w:rsid w:val="001603B2"/>
    <w:rsid w:val="00186662"/>
    <w:rsid w:val="00204D4C"/>
    <w:rsid w:val="00221F91"/>
    <w:rsid w:val="0026493E"/>
    <w:rsid w:val="002A1795"/>
    <w:rsid w:val="002F5236"/>
    <w:rsid w:val="00317A0E"/>
    <w:rsid w:val="0036540C"/>
    <w:rsid w:val="003B7FCE"/>
    <w:rsid w:val="003C658C"/>
    <w:rsid w:val="0049787A"/>
    <w:rsid w:val="00554F12"/>
    <w:rsid w:val="00567AD2"/>
    <w:rsid w:val="00711914"/>
    <w:rsid w:val="00714278"/>
    <w:rsid w:val="00755CFA"/>
    <w:rsid w:val="00780DAE"/>
    <w:rsid w:val="00814291"/>
    <w:rsid w:val="0083660C"/>
    <w:rsid w:val="008776E8"/>
    <w:rsid w:val="00880DB3"/>
    <w:rsid w:val="00912AC7"/>
    <w:rsid w:val="009E0BE6"/>
    <w:rsid w:val="009F76DA"/>
    <w:rsid w:val="00A06B95"/>
    <w:rsid w:val="00A4663B"/>
    <w:rsid w:val="00A62CB2"/>
    <w:rsid w:val="00AB1D71"/>
    <w:rsid w:val="00AF082C"/>
    <w:rsid w:val="00B65C0F"/>
    <w:rsid w:val="00BC173E"/>
    <w:rsid w:val="00BD663C"/>
    <w:rsid w:val="00C24841"/>
    <w:rsid w:val="00C5300A"/>
    <w:rsid w:val="00CB553E"/>
    <w:rsid w:val="00E52753"/>
    <w:rsid w:val="00E55A1C"/>
    <w:rsid w:val="00E86695"/>
    <w:rsid w:val="00EA64C5"/>
    <w:rsid w:val="00EE55ED"/>
    <w:rsid w:val="00EE6F5B"/>
    <w:rsid w:val="00F926C7"/>
    <w:rsid w:val="00FB6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6BCF1"/>
  <w15:chartTrackingRefBased/>
  <w15:docId w15:val="{0B3A0E13-3B7B-4897-9E7D-23CA0B15C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C2484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24841"/>
    <w:rPr>
      <w:rFonts w:ascii="Arial" w:eastAsia="Arial" w:hAnsi="Arial" w:cs="Arial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248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2484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24841"/>
    <w:rPr>
      <w:rFonts w:ascii="Arial" w:eastAsia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48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84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096500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553E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553E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22</Pages>
  <Words>4367</Words>
  <Characters>24892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29201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Sheri Diehm</dc:creator>
  <cp:keywords/>
  <dc:description/>
  <cp:lastModifiedBy>Teresa Terry</cp:lastModifiedBy>
  <cp:revision>6</cp:revision>
  <dcterms:created xsi:type="dcterms:W3CDTF">2020-05-22T12:55:00Z</dcterms:created>
  <dcterms:modified xsi:type="dcterms:W3CDTF">2022-05-11T12:58:00Z</dcterms:modified>
</cp:coreProperties>
</file>