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66FF6786"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335AC3">
        <w:rPr>
          <w:rFonts w:ascii="Times New Roman" w:hAnsi="Times New Roman" w:cs="Times New Roman"/>
          <w:b/>
          <w:sz w:val="28"/>
          <w:szCs w:val="28"/>
        </w:rPr>
        <w:t>292000</w:t>
      </w:r>
      <w:r w:rsidR="00203095">
        <w:rPr>
          <w:rFonts w:ascii="Times New Roman" w:hAnsi="Times New Roman" w:cs="Times New Roman"/>
          <w:b/>
          <w:sz w:val="28"/>
          <w:szCs w:val="28"/>
        </w:rPr>
        <w:t>0246</w:t>
      </w:r>
    </w:p>
    <w:p w14:paraId="292897D4" w14:textId="77777777" w:rsidR="00554F12" w:rsidRPr="00C24841" w:rsidRDefault="00554F12" w:rsidP="00C24841">
      <w:pPr>
        <w:jc w:val="center"/>
        <w:rPr>
          <w:rFonts w:ascii="Times New Roman" w:hAnsi="Times New Roman" w:cs="Times New Roman"/>
          <w:b/>
          <w:sz w:val="28"/>
          <w:szCs w:val="28"/>
        </w:rPr>
      </w:pPr>
    </w:p>
    <w:p w14:paraId="1B5C4838" w14:textId="77777777" w:rsidR="00AA7DF4" w:rsidRDefault="00AA7DF4" w:rsidP="00AA7DF4">
      <w:pPr>
        <w:pStyle w:val="Default"/>
        <w:rPr>
          <w:sz w:val="22"/>
          <w:szCs w:val="22"/>
        </w:rPr>
      </w:pPr>
      <w:r>
        <w:rPr>
          <w:sz w:val="22"/>
          <w:szCs w:val="22"/>
        </w:rPr>
        <w:t xml:space="preserve">1. </w:t>
      </w:r>
      <w:r>
        <w:rPr>
          <w:b/>
          <w:bCs/>
          <w:sz w:val="22"/>
          <w:szCs w:val="22"/>
        </w:rPr>
        <w:t xml:space="preserve">PROVIDE- </w:t>
      </w:r>
      <w:r>
        <w:rPr>
          <w:sz w:val="22"/>
          <w:szCs w:val="22"/>
        </w:rPr>
        <w:t xml:space="preserve">means that all coordination and materials must be included for an item and should be included in the bid cost. </w:t>
      </w:r>
    </w:p>
    <w:p w14:paraId="3E4B509B" w14:textId="77777777" w:rsidR="00AA7DF4" w:rsidRDefault="00AA7DF4" w:rsidP="00AA7DF4">
      <w:pPr>
        <w:pStyle w:val="Default"/>
        <w:rPr>
          <w:sz w:val="22"/>
          <w:szCs w:val="22"/>
        </w:rPr>
      </w:pPr>
    </w:p>
    <w:p w14:paraId="6A600FFD" w14:textId="09CED7BA" w:rsidR="00AA7DF4" w:rsidRDefault="00AA7DF4" w:rsidP="00AA7DF4">
      <w:pPr>
        <w:pStyle w:val="Default"/>
        <w:rPr>
          <w:sz w:val="22"/>
          <w:szCs w:val="22"/>
        </w:rPr>
      </w:pPr>
      <w:r>
        <w:rPr>
          <w:sz w:val="22"/>
          <w:szCs w:val="22"/>
        </w:rPr>
        <w:t xml:space="preserve">2. </w:t>
      </w:r>
      <w:r>
        <w:rPr>
          <w:rFonts w:ascii="Arial" w:hAnsi="Arial" w:cs="Arial"/>
          <w:b/>
          <w:bCs/>
          <w:sz w:val="20"/>
          <w:szCs w:val="20"/>
        </w:rPr>
        <w:t xml:space="preserve">EXTENDED WARRANTY </w:t>
      </w:r>
      <w:r>
        <w:rPr>
          <w:b/>
          <w:bCs/>
          <w:sz w:val="22"/>
          <w:szCs w:val="22"/>
        </w:rPr>
        <w:t xml:space="preserve">– </w:t>
      </w:r>
      <w:r>
        <w:rPr>
          <w:sz w:val="22"/>
          <w:szCs w:val="22"/>
        </w:rPr>
        <w:t xml:space="preserve">Prolonged warranty that is in </w:t>
      </w:r>
      <w:r w:rsidR="00335AC3">
        <w:rPr>
          <w:sz w:val="22"/>
          <w:szCs w:val="22"/>
        </w:rPr>
        <w:t>one-year</w:t>
      </w:r>
      <w:r>
        <w:rPr>
          <w:sz w:val="22"/>
          <w:szCs w:val="22"/>
        </w:rPr>
        <w:t xml:space="preserve"> increment</w:t>
      </w:r>
      <w:r w:rsidR="00335AC3">
        <w:rPr>
          <w:sz w:val="22"/>
          <w:szCs w:val="22"/>
        </w:rPr>
        <w:t>s</w:t>
      </w:r>
      <w:r>
        <w:rPr>
          <w:sz w:val="22"/>
          <w:szCs w:val="22"/>
        </w:rPr>
        <w:t xml:space="preserve"> that takes full effect after manufacturer’s warranty. </w:t>
      </w:r>
    </w:p>
    <w:p w14:paraId="02525A45" w14:textId="77777777" w:rsidR="00AA7DF4" w:rsidRDefault="00AA7DF4" w:rsidP="00AA7DF4">
      <w:pPr>
        <w:pStyle w:val="Default"/>
        <w:rPr>
          <w:sz w:val="22"/>
          <w:szCs w:val="22"/>
        </w:rPr>
      </w:pPr>
    </w:p>
    <w:p w14:paraId="2C5DB81F" w14:textId="77777777" w:rsidR="00AA7DF4" w:rsidRDefault="00AA7DF4" w:rsidP="00AA7DF4">
      <w:pPr>
        <w:pStyle w:val="Default"/>
        <w:rPr>
          <w:color w:val="0D0D0D"/>
          <w:sz w:val="22"/>
          <w:szCs w:val="22"/>
        </w:rPr>
      </w:pPr>
      <w:r>
        <w:rPr>
          <w:color w:val="0D0D0D"/>
          <w:sz w:val="22"/>
          <w:szCs w:val="22"/>
        </w:rPr>
        <w:t xml:space="preserve">3. </w:t>
      </w:r>
      <w:r>
        <w:rPr>
          <w:b/>
          <w:bCs/>
          <w:color w:val="0D0D0D"/>
          <w:sz w:val="22"/>
          <w:szCs w:val="22"/>
        </w:rPr>
        <w:t xml:space="preserve">ENVIRONMENTALLY PREFERABLE GOODS AND SERVICES (EPGS): </w:t>
      </w:r>
      <w:r>
        <w:rPr>
          <w:color w:val="0D0D0D"/>
          <w:sz w:val="22"/>
          <w:szCs w:val="22"/>
        </w:rPr>
        <w:t xml:space="preserve">are those that have a lesser or reduced impact on the environment over the life cycle of the good or service, when compared with competing goods or services that serve the same purpose. Environmentally preferable goods may also have one or more of the following characteristics: reduced packaging, ease of reuse, refurbishment, remanufacture, or recycling at end of life, reduction of greenhouse gas emissions and air contaminants, improved energy and water efficiency, use of alternative sources of energy and fuels, reduced waste, and practices that support reuse and recycling, use of renewable resources, reduced exposure to toxins and hazardous substances, and promote practices that support and sustain healthy communities and social structures. </w:t>
      </w:r>
    </w:p>
    <w:p w14:paraId="226D59CD" w14:textId="77777777" w:rsidR="00AA7DF4" w:rsidRDefault="00AA7DF4" w:rsidP="00AA7DF4">
      <w:pPr>
        <w:pStyle w:val="Default"/>
        <w:rPr>
          <w:color w:val="0D0D0D"/>
          <w:sz w:val="22"/>
          <w:szCs w:val="22"/>
        </w:rPr>
      </w:pPr>
    </w:p>
    <w:p w14:paraId="581AE477" w14:textId="72F82F36" w:rsidR="00AA7DF4" w:rsidRDefault="00AA7DF4" w:rsidP="00AA7DF4">
      <w:pPr>
        <w:pStyle w:val="Default"/>
        <w:rPr>
          <w:sz w:val="20"/>
          <w:szCs w:val="20"/>
        </w:rPr>
      </w:pPr>
      <w:r>
        <w:rPr>
          <w:b/>
          <w:bCs/>
          <w:sz w:val="20"/>
          <w:szCs w:val="20"/>
        </w:rPr>
        <w:t xml:space="preserve">4. </w:t>
      </w:r>
      <w:r>
        <w:rPr>
          <w:b/>
          <w:bCs/>
          <w:color w:val="0D0D0D"/>
          <w:sz w:val="22"/>
          <w:szCs w:val="22"/>
        </w:rPr>
        <w:t xml:space="preserve">THE OKLAHOMA DEPARTMENT OF ENVIRONMENTAL QUALITY (DEQ) </w:t>
      </w:r>
      <w:r>
        <w:rPr>
          <w:color w:val="0D0D0D"/>
          <w:sz w:val="22"/>
          <w:szCs w:val="22"/>
        </w:rPr>
        <w:t xml:space="preserve">- </w:t>
      </w:r>
      <w:r>
        <w:rPr>
          <w:b/>
          <w:bCs/>
          <w:sz w:val="20"/>
          <w:szCs w:val="20"/>
        </w:rPr>
        <w:t>O</w:t>
      </w:r>
      <w:r>
        <w:rPr>
          <w:sz w:val="20"/>
          <w:szCs w:val="20"/>
        </w:rPr>
        <w:t xml:space="preserve">klahoma Department of Environmental Quality (DEQ) is organized according to operational needs identified by the statutory responsibilities outlined in its empowering legislation. The organization consists of the Office of Executive Director, Administrative Services Division, and five technical divisions, each of which is responsible for the management of specific environmental program areas: </w:t>
      </w:r>
      <w:r>
        <w:rPr>
          <w:color w:val="0000FF"/>
          <w:sz w:val="20"/>
          <w:szCs w:val="20"/>
        </w:rPr>
        <w:t xml:space="preserve">http://www.deq.state.ok.us/ </w:t>
      </w:r>
      <w:r>
        <w:rPr>
          <w:sz w:val="20"/>
          <w:szCs w:val="20"/>
        </w:rPr>
        <w:t xml:space="preserve">State Environmental Lab Services Division (SELSD) – is one of those divisions and is responsible for providing services both inside and outside the agency. The organic and inorganic chemistry laboratories provide analytical support to the various programs within DEQ to other state agencies, and to public water supply systems of the state. The Laboratory Accreditation Unit operates an accreditation program for </w:t>
      </w:r>
      <w:r w:rsidR="00FE241D">
        <w:rPr>
          <w:sz w:val="20"/>
          <w:szCs w:val="20"/>
        </w:rPr>
        <w:t>in state</w:t>
      </w:r>
      <w:r>
        <w:rPr>
          <w:sz w:val="20"/>
          <w:szCs w:val="20"/>
        </w:rPr>
        <w:t xml:space="preserve"> and out-of-state environmental laboratories. </w:t>
      </w:r>
    </w:p>
    <w:p w14:paraId="1ABB7EA7" w14:textId="77777777" w:rsidR="00AA7DF4" w:rsidRDefault="00AA7DF4" w:rsidP="00AA7DF4">
      <w:pPr>
        <w:pStyle w:val="Default"/>
        <w:rPr>
          <w:sz w:val="20"/>
          <w:szCs w:val="20"/>
        </w:rPr>
      </w:pPr>
    </w:p>
    <w:p w14:paraId="0D0BD618" w14:textId="77777777" w:rsidR="00AA7DF4" w:rsidRDefault="00AA7DF4" w:rsidP="00AA7DF4">
      <w:pPr>
        <w:pStyle w:val="Default"/>
        <w:rPr>
          <w:b/>
          <w:bCs/>
          <w:sz w:val="22"/>
          <w:szCs w:val="22"/>
        </w:rPr>
      </w:pPr>
      <w:r>
        <w:rPr>
          <w:b/>
          <w:bCs/>
          <w:sz w:val="22"/>
          <w:szCs w:val="22"/>
        </w:rPr>
        <w:t>5. REFERENCE WEBSITES:</w:t>
      </w:r>
    </w:p>
    <w:p w14:paraId="4936A00F" w14:textId="3762B0EE"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a.</w:t>
      </w:r>
      <w:r w:rsidRPr="00AA7DF4">
        <w:rPr>
          <w:rFonts w:ascii="Arial" w:hAnsi="Arial" w:cs="Arial"/>
          <w:color w:val="404040" w:themeColor="text1" w:themeTint="BF"/>
          <w:sz w:val="20"/>
          <w:szCs w:val="20"/>
        </w:rPr>
        <w:tab/>
        <w:t xml:space="preserve">Oklahoma Department of Environmental Quality (DEQ):  </w:t>
      </w:r>
      <w:hyperlink r:id="rId8" w:history="1">
        <w:r w:rsidRPr="00AA7DF4">
          <w:rPr>
            <w:rStyle w:val="Hyperlink"/>
            <w:rFonts w:ascii="Arial" w:hAnsi="Arial" w:cs="Arial"/>
            <w:color w:val="1F4E79" w:themeColor="accent1" w:themeShade="80"/>
            <w:sz w:val="20"/>
            <w:szCs w:val="20"/>
          </w:rPr>
          <w:t>http://www.deq.state.ok.us/</w:t>
        </w:r>
      </w:hyperlink>
      <w:r w:rsidRPr="00AA7DF4">
        <w:rPr>
          <w:rFonts w:ascii="Arial" w:hAnsi="Arial" w:cs="Arial"/>
          <w:color w:val="1F4E79" w:themeColor="accent1" w:themeShade="80"/>
          <w:sz w:val="20"/>
          <w:szCs w:val="20"/>
        </w:rPr>
        <w:t xml:space="preserve">   </w:t>
      </w:r>
    </w:p>
    <w:p w14:paraId="4FA72F66" w14:textId="306AF268"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b.</w:t>
      </w:r>
      <w:r w:rsidRPr="00AA7DF4">
        <w:rPr>
          <w:rFonts w:ascii="Arial" w:hAnsi="Arial" w:cs="Arial"/>
          <w:color w:val="404040" w:themeColor="text1" w:themeTint="BF"/>
          <w:sz w:val="20"/>
          <w:szCs w:val="20"/>
        </w:rPr>
        <w:tab/>
        <w:t xml:space="preserve">United States Environmental Protection Agency (EPA): </w:t>
      </w:r>
      <w:hyperlink r:id="rId9" w:history="1">
        <w:r w:rsidRPr="00AA7DF4">
          <w:rPr>
            <w:rStyle w:val="Hyperlink"/>
            <w:rFonts w:ascii="Arial" w:hAnsi="Arial" w:cs="Arial"/>
            <w:color w:val="1F4E79" w:themeColor="accent1" w:themeShade="80"/>
            <w:sz w:val="20"/>
            <w:szCs w:val="20"/>
          </w:rPr>
          <w:t>https://www.epa.gov/laws-regulations</w:t>
        </w:r>
      </w:hyperlink>
      <w:r w:rsidRPr="00AA7DF4">
        <w:rPr>
          <w:rFonts w:ascii="Arial" w:hAnsi="Arial" w:cs="Arial"/>
          <w:color w:val="1F4E79" w:themeColor="accent1" w:themeShade="80"/>
          <w:sz w:val="20"/>
          <w:szCs w:val="20"/>
        </w:rPr>
        <w:t xml:space="preserve"> </w:t>
      </w:r>
    </w:p>
    <w:p w14:paraId="29539069" w14:textId="28790CB0" w:rsidR="00AA7DF4" w:rsidRPr="00AA7DF4" w:rsidRDefault="00AA7DF4" w:rsidP="00AA7DF4">
      <w:pPr>
        <w:pStyle w:val="Default"/>
        <w:ind w:left="270"/>
        <w:rPr>
          <w:rFonts w:ascii="Arial" w:hAnsi="Arial" w:cs="Arial"/>
          <w:color w:val="404040" w:themeColor="text1" w:themeTint="BF"/>
          <w:sz w:val="18"/>
          <w:szCs w:val="18"/>
        </w:rPr>
      </w:pPr>
      <w:r w:rsidRPr="00AA7DF4">
        <w:rPr>
          <w:rFonts w:ascii="Arial" w:hAnsi="Arial" w:cs="Arial"/>
          <w:color w:val="404040" w:themeColor="text1" w:themeTint="BF"/>
          <w:sz w:val="20"/>
          <w:szCs w:val="20"/>
        </w:rPr>
        <w:t>c.</w:t>
      </w:r>
      <w:r w:rsidRPr="00AA7DF4">
        <w:rPr>
          <w:rFonts w:ascii="Arial" w:hAnsi="Arial" w:cs="Arial"/>
          <w:color w:val="404040" w:themeColor="text1" w:themeTint="BF"/>
          <w:sz w:val="20"/>
          <w:szCs w:val="20"/>
        </w:rPr>
        <w:tab/>
        <w:t>United States Code of Federal Regulations (CFR</w:t>
      </w:r>
      <w:r w:rsidRPr="00AA7DF4">
        <w:rPr>
          <w:rFonts w:ascii="Arial" w:hAnsi="Arial" w:cs="Arial"/>
          <w:color w:val="1F4E79" w:themeColor="accent1" w:themeShade="80"/>
          <w:sz w:val="20"/>
          <w:szCs w:val="20"/>
        </w:rPr>
        <w:t xml:space="preserve">): </w:t>
      </w:r>
      <w:hyperlink r:id="rId10" w:history="1">
        <w:r w:rsidRPr="00AA7DF4">
          <w:rPr>
            <w:rStyle w:val="Hyperlink"/>
            <w:rFonts w:ascii="Arial" w:hAnsi="Arial" w:cs="Arial"/>
            <w:color w:val="1F4E79" w:themeColor="accent1" w:themeShade="80"/>
            <w:sz w:val="18"/>
            <w:szCs w:val="18"/>
          </w:rPr>
          <w:t>https://www.ecfr.gov/cgi-bin/ECFR?page=browse</w:t>
        </w:r>
      </w:hyperlink>
      <w:r w:rsidRPr="00AA7DF4">
        <w:rPr>
          <w:rFonts w:ascii="Arial" w:hAnsi="Arial" w:cs="Arial"/>
          <w:color w:val="404040" w:themeColor="text1" w:themeTint="BF"/>
          <w:sz w:val="18"/>
          <w:szCs w:val="18"/>
        </w:rPr>
        <w:t xml:space="preserve"> </w:t>
      </w:r>
    </w:p>
    <w:p w14:paraId="237C75BB" w14:textId="106190E0"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d.</w:t>
      </w:r>
      <w:r w:rsidRPr="00AA7DF4">
        <w:rPr>
          <w:rFonts w:ascii="Arial" w:hAnsi="Arial" w:cs="Arial"/>
          <w:color w:val="404040" w:themeColor="text1" w:themeTint="BF"/>
          <w:sz w:val="20"/>
          <w:szCs w:val="20"/>
        </w:rPr>
        <w:tab/>
        <w:t xml:space="preserve">EPA Methods TO-11A and TO-15.: </w:t>
      </w:r>
      <w:hyperlink r:id="rId11" w:history="1">
        <w:r w:rsidRPr="00AA7DF4">
          <w:rPr>
            <w:rStyle w:val="Hyperlink"/>
            <w:rFonts w:ascii="Arial" w:hAnsi="Arial" w:cs="Arial"/>
            <w:color w:val="1F4E79" w:themeColor="accent1" w:themeShade="80"/>
            <w:sz w:val="20"/>
            <w:szCs w:val="20"/>
          </w:rPr>
          <w:t>http://www3.epa.gov/ttn/amtic/airtox.html</w:t>
        </w:r>
      </w:hyperlink>
      <w:r w:rsidRPr="00AA7DF4">
        <w:rPr>
          <w:rFonts w:ascii="Arial" w:hAnsi="Arial" w:cs="Arial"/>
          <w:color w:val="1F4E79" w:themeColor="accent1" w:themeShade="80"/>
          <w:sz w:val="20"/>
          <w:szCs w:val="20"/>
        </w:rPr>
        <w:t xml:space="preserve"> </w:t>
      </w:r>
    </w:p>
    <w:p w14:paraId="09118E47" w14:textId="77777777"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e.</w:t>
      </w:r>
      <w:r w:rsidRPr="00AA7DF4">
        <w:rPr>
          <w:rFonts w:ascii="Arial" w:hAnsi="Arial" w:cs="Arial"/>
          <w:color w:val="404040" w:themeColor="text1" w:themeTint="BF"/>
          <w:sz w:val="20"/>
          <w:szCs w:val="20"/>
        </w:rPr>
        <w:tab/>
        <w:t>EPA’s Urban Air Toxic Monitoring Program</w:t>
      </w:r>
      <w:r w:rsidRPr="00AA7DF4">
        <w:rPr>
          <w:rFonts w:ascii="Arial" w:hAnsi="Arial" w:cs="Arial"/>
          <w:color w:val="1F4E79" w:themeColor="accent1" w:themeShade="80"/>
          <w:sz w:val="20"/>
          <w:szCs w:val="20"/>
        </w:rPr>
        <w:t>: http://www3.epa.gov/ttnamti1/uatm.html</w:t>
      </w:r>
    </w:p>
    <w:p w14:paraId="018C01CE" w14:textId="77777777"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f.</w:t>
      </w:r>
      <w:r w:rsidRPr="00AA7DF4">
        <w:rPr>
          <w:rFonts w:ascii="Arial" w:hAnsi="Arial" w:cs="Arial"/>
          <w:color w:val="404040" w:themeColor="text1" w:themeTint="BF"/>
          <w:sz w:val="20"/>
          <w:szCs w:val="20"/>
        </w:rPr>
        <w:tab/>
        <w:t xml:space="preserve">National Institute of Standards and Technology: </w:t>
      </w:r>
      <w:r w:rsidRPr="00AA7DF4">
        <w:rPr>
          <w:rFonts w:ascii="Arial" w:hAnsi="Arial" w:cs="Arial"/>
          <w:color w:val="1F4E79" w:themeColor="accent1" w:themeShade="80"/>
          <w:sz w:val="20"/>
          <w:szCs w:val="20"/>
        </w:rPr>
        <w:t>https://www.nist.gov</w:t>
      </w:r>
      <w:r w:rsidRPr="00AA7DF4">
        <w:rPr>
          <w:rFonts w:ascii="Arial" w:hAnsi="Arial" w:cs="Arial"/>
          <w:color w:val="404040" w:themeColor="text1" w:themeTint="BF"/>
          <w:sz w:val="20"/>
          <w:szCs w:val="20"/>
        </w:rPr>
        <w:t>/</w:t>
      </w:r>
    </w:p>
    <w:p w14:paraId="732DDE4D" w14:textId="77777777" w:rsidR="00AA7DF4" w:rsidRPr="00AA7DF4" w:rsidRDefault="00AA7DF4" w:rsidP="00AA7DF4">
      <w:pPr>
        <w:pStyle w:val="Default"/>
        <w:ind w:left="270"/>
        <w:rPr>
          <w:rFonts w:ascii="Arial" w:hAnsi="Arial" w:cs="Arial"/>
          <w:color w:val="404040" w:themeColor="text1" w:themeTint="BF"/>
          <w:sz w:val="20"/>
          <w:szCs w:val="20"/>
        </w:rPr>
      </w:pPr>
      <w:r w:rsidRPr="00AA7DF4">
        <w:rPr>
          <w:rFonts w:ascii="Arial" w:hAnsi="Arial" w:cs="Arial"/>
          <w:color w:val="404040" w:themeColor="text1" w:themeTint="BF"/>
          <w:sz w:val="20"/>
          <w:szCs w:val="20"/>
        </w:rPr>
        <w:t>g.</w:t>
      </w:r>
      <w:r w:rsidRPr="00AA7DF4">
        <w:rPr>
          <w:rFonts w:ascii="Arial" w:hAnsi="Arial" w:cs="Arial"/>
          <w:color w:val="404040" w:themeColor="text1" w:themeTint="BF"/>
          <w:sz w:val="20"/>
          <w:szCs w:val="20"/>
        </w:rPr>
        <w:tab/>
        <w:t>United States Coast Guard (USCG): https</w:t>
      </w:r>
      <w:r w:rsidRPr="00AA7DF4">
        <w:rPr>
          <w:rFonts w:ascii="Arial" w:hAnsi="Arial" w:cs="Arial"/>
          <w:color w:val="1F4E79" w:themeColor="accent1" w:themeShade="80"/>
          <w:sz w:val="20"/>
          <w:szCs w:val="20"/>
        </w:rPr>
        <w:t>://www.uscg.mil/</w:t>
      </w:r>
    </w:p>
    <w:p w14:paraId="0F1EE629" w14:textId="6E3BF2CD" w:rsidR="00AA7DF4" w:rsidRDefault="00AA7DF4" w:rsidP="00AA7DF4">
      <w:pPr>
        <w:pStyle w:val="Default"/>
        <w:tabs>
          <w:tab w:val="left" w:pos="810"/>
          <w:tab w:val="left" w:pos="1080"/>
        </w:tabs>
        <w:ind w:left="810" w:hanging="540"/>
        <w:rPr>
          <w:rFonts w:ascii="Arial" w:hAnsi="Arial" w:cs="Arial"/>
          <w:color w:val="1F4E79" w:themeColor="accent1" w:themeShade="80"/>
          <w:sz w:val="20"/>
          <w:szCs w:val="20"/>
        </w:rPr>
      </w:pPr>
      <w:r w:rsidRPr="00AA7DF4">
        <w:rPr>
          <w:rFonts w:ascii="Arial" w:hAnsi="Arial" w:cs="Arial"/>
          <w:color w:val="404040" w:themeColor="text1" w:themeTint="BF"/>
          <w:sz w:val="20"/>
          <w:szCs w:val="20"/>
        </w:rPr>
        <w:t>h.</w:t>
      </w:r>
      <w:r w:rsidRPr="00AA7DF4">
        <w:rPr>
          <w:rFonts w:ascii="Arial" w:hAnsi="Arial" w:cs="Arial"/>
          <w:color w:val="404040" w:themeColor="text1" w:themeTint="BF"/>
          <w:sz w:val="20"/>
          <w:szCs w:val="20"/>
        </w:rPr>
        <w:tab/>
        <w:t xml:space="preserve">United States Department of Labor – Occupational Safety and Health Administration (OSHA): </w:t>
      </w:r>
      <w:hyperlink r:id="rId12" w:history="1">
        <w:r w:rsidRPr="000C437B">
          <w:rPr>
            <w:rStyle w:val="Hyperlink"/>
            <w:rFonts w:ascii="Arial" w:hAnsi="Arial" w:cs="Arial"/>
            <w:color w:val="023160" w:themeColor="hyperlink" w:themeShade="80"/>
            <w:sz w:val="20"/>
            <w:szCs w:val="20"/>
          </w:rPr>
          <w:t>https://www.osha.gov/</w:t>
        </w:r>
      </w:hyperlink>
    </w:p>
    <w:p w14:paraId="1D03FE6C" w14:textId="77777777" w:rsidR="00AA7DF4" w:rsidRPr="00AA7DF4" w:rsidRDefault="00AA7DF4" w:rsidP="00AA7DF4">
      <w:pPr>
        <w:pStyle w:val="Default"/>
        <w:rPr>
          <w:rFonts w:ascii="Arial" w:hAnsi="Arial" w:cs="Arial"/>
          <w:color w:val="1F4E79" w:themeColor="accent1" w:themeShade="80"/>
          <w:sz w:val="20"/>
          <w:szCs w:val="20"/>
        </w:rPr>
      </w:pPr>
    </w:p>
    <w:p w14:paraId="284BDA33" w14:textId="3D9FC186" w:rsidR="00AA7DF4" w:rsidRDefault="00AA7DF4" w:rsidP="00AA7DF4">
      <w:pPr>
        <w:pStyle w:val="Default"/>
        <w:rPr>
          <w:sz w:val="22"/>
          <w:szCs w:val="22"/>
        </w:rPr>
      </w:pPr>
      <w:r>
        <w:rPr>
          <w:sz w:val="22"/>
          <w:szCs w:val="22"/>
        </w:rPr>
        <w:t xml:space="preserve">6. </w:t>
      </w:r>
      <w:r>
        <w:rPr>
          <w:b/>
          <w:bCs/>
          <w:sz w:val="22"/>
          <w:szCs w:val="22"/>
        </w:rPr>
        <w:t>SUBSTITUTIONS:</w:t>
      </w:r>
      <w:r w:rsidRPr="00AA7DF4">
        <w:rPr>
          <w:sz w:val="22"/>
          <w:szCs w:val="22"/>
        </w:rPr>
        <w:t xml:space="preserve"> If alternate make(s), or model(s), are submitted in your response, the following shall be provided:  Specification(s), Brochure(s), Warranty information, Failure to present the above in the bid will result in a non-responsive bid.</w:t>
      </w:r>
    </w:p>
    <w:p w14:paraId="0CF9B3DA" w14:textId="77777777" w:rsidR="00AA7DF4" w:rsidRDefault="00AA7DF4" w:rsidP="00AA7DF4">
      <w:pPr>
        <w:pStyle w:val="Default"/>
        <w:rPr>
          <w:sz w:val="20"/>
          <w:szCs w:val="20"/>
        </w:rPr>
      </w:pPr>
    </w:p>
    <w:p w14:paraId="676F3F55" w14:textId="1A89E54F" w:rsidR="00BB020E" w:rsidRPr="00BB020E" w:rsidRDefault="00AA7DF4" w:rsidP="00BB020E">
      <w:pPr>
        <w:rPr>
          <w:rFonts w:ascii="Segoe UI" w:eastAsia="Times New Roman" w:hAnsi="Segoe UI" w:cs="Segoe UI"/>
          <w:sz w:val="21"/>
          <w:szCs w:val="21"/>
        </w:rPr>
      </w:pPr>
      <w:r>
        <w:rPr>
          <w:sz w:val="20"/>
          <w:szCs w:val="20"/>
        </w:rPr>
        <w:t xml:space="preserve">7. </w:t>
      </w:r>
      <w:r w:rsidR="00203095">
        <w:rPr>
          <w:b/>
          <w:bCs/>
        </w:rPr>
        <w:t>DELIVERY:</w:t>
      </w:r>
      <w:r w:rsidR="00203095" w:rsidRPr="00AA7DF4">
        <w:t xml:space="preserve"> O.B.</w:t>
      </w:r>
      <w:r w:rsidRPr="00AA7DF4">
        <w:t xml:space="preserve"> Destination shall mean delivered to the receiving dock or other point specified in the purchase order.   Deliverable(s) shall be packaged as to not be damaged during transportation and delivery.  Packaging shall be labeled as to content.  Packaging shall be labeled as to content and all containers should be EPGS products.  The Contractor, Contractor’s officers, employees, and Independent contractors will be required to do the following: Deliverable(s) shall be packaged as to not be damaged during transportation and delivery. Suppliers shall be responsible for filing, processing, and collecting all damage claims.  Damaged deliverable(s) shall be replaced by supplier at no cost to the agency.   All shipments must be pre-approved before shipping.  Supplier shall contact agency contact for delivery dates.  All deliveries shall be scheduled prior to delivery.   The supplier shall </w:t>
      </w:r>
      <w:r w:rsidR="00203095" w:rsidRPr="00AA7DF4">
        <w:t>contact</w:t>
      </w:r>
      <w:r w:rsidRPr="00AA7DF4">
        <w:t xml:space="preserve"> Paul Roger at 405-702-1164 or E-Mail: Shipping.Receiving@deq.ok.gov.  Items shall be delivered to Oklahoma Department of Environmental Quality, SELS at </w:t>
      </w:r>
      <w:r w:rsidRPr="00AA7DF4">
        <w:lastRenderedPageBreak/>
        <w:t xml:space="preserve">707 N Robinson Oklahoma City, OK 73102.  Contract to furnish and deliver to the department of environmental quality the items listed no later than 30 days after receipt of phone order and the quantity specified on each phone order. </w:t>
      </w:r>
      <w:r w:rsidR="00BB020E" w:rsidRPr="00BB020E">
        <w:rPr>
          <w:rFonts w:ascii="Segoe UI" w:eastAsia="Times New Roman" w:hAnsi="Segoe UI" w:cs="Segoe UI"/>
          <w:sz w:val="21"/>
          <w:szCs w:val="21"/>
        </w:rPr>
        <w:t>The Contractor, Contractor’s officers, employees, and Independent contractors will be required to do the following:</w:t>
      </w:r>
      <w:r w:rsidR="00BB020E" w:rsidRPr="00BB020E">
        <w:rPr>
          <w:rFonts w:ascii="Segoe UI" w:eastAsia="Times New Roman" w:hAnsi="Segoe UI" w:cs="Segoe UI"/>
          <w:sz w:val="21"/>
          <w:szCs w:val="21"/>
        </w:rPr>
        <w:br/>
        <w:t xml:space="preserve">Must provide the </w:t>
      </w:r>
      <w:r w:rsidR="00BB020E">
        <w:rPr>
          <w:rFonts w:ascii="Segoe UI" w:eastAsia="Times New Roman" w:hAnsi="Segoe UI" w:cs="Segoe UI"/>
          <w:sz w:val="21"/>
          <w:szCs w:val="21"/>
        </w:rPr>
        <w:t>bottle</w:t>
      </w:r>
      <w:r w:rsidR="00BB020E" w:rsidRPr="00BB020E">
        <w:rPr>
          <w:rFonts w:ascii="Segoe UI" w:eastAsia="Times New Roman" w:hAnsi="Segoe UI" w:cs="Segoe UI"/>
          <w:sz w:val="21"/>
          <w:szCs w:val="21"/>
        </w:rPr>
        <w:t>r size specified and must be delivered within sixty (60) days after receipt of order. Must provide the regulator size specified and Items must be delivered within 15 days after receipt of order</w:t>
      </w:r>
    </w:p>
    <w:p w14:paraId="43A283FD" w14:textId="61ED07C3" w:rsidR="00AA7DF4" w:rsidRDefault="00AA7DF4" w:rsidP="00AA7DF4">
      <w:pPr>
        <w:pStyle w:val="Default"/>
        <w:rPr>
          <w:sz w:val="22"/>
          <w:szCs w:val="22"/>
        </w:rPr>
      </w:pPr>
      <w:r>
        <w:rPr>
          <w:sz w:val="22"/>
          <w:szCs w:val="22"/>
        </w:rPr>
        <w:t xml:space="preserve">8. </w:t>
      </w:r>
      <w:r>
        <w:rPr>
          <w:b/>
          <w:bCs/>
          <w:sz w:val="22"/>
          <w:szCs w:val="22"/>
        </w:rPr>
        <w:t>INVOICES:</w:t>
      </w:r>
      <w:r>
        <w:rPr>
          <w:sz w:val="22"/>
          <w:szCs w:val="22"/>
        </w:rPr>
        <w:t xml:space="preserve"> </w:t>
      </w:r>
      <w:r w:rsidRPr="00AA7DF4">
        <w:rPr>
          <w:sz w:val="22"/>
          <w:szCs w:val="22"/>
        </w:rPr>
        <w:t xml:space="preserve">Purchase Order number shall appear on all invoice(s).  All invoice(s) must state period of service.  All Invoices shall be itemized.  Invoices shall be sent </w:t>
      </w:r>
      <w:r w:rsidR="00203095" w:rsidRPr="00AA7DF4">
        <w:rPr>
          <w:sz w:val="22"/>
          <w:szCs w:val="22"/>
        </w:rPr>
        <w:t>to</w:t>
      </w:r>
      <w:r w:rsidRPr="00AA7DF4">
        <w:rPr>
          <w:sz w:val="22"/>
          <w:szCs w:val="22"/>
        </w:rPr>
        <w:t xml:space="preserve"> Oklahoma Department of Environmental Quality Attention: Accounts Payable P.O. Box 1677 Oklahoma City, Oklahoma 73101-1677.  Failure to comply may result in late payments.</w:t>
      </w:r>
    </w:p>
    <w:p w14:paraId="7FDF74FB" w14:textId="77777777" w:rsidR="00AA7DF4" w:rsidRDefault="00AA7DF4" w:rsidP="00AA7DF4">
      <w:pPr>
        <w:pStyle w:val="Default"/>
        <w:rPr>
          <w:sz w:val="22"/>
          <w:szCs w:val="22"/>
        </w:rPr>
      </w:pPr>
    </w:p>
    <w:p w14:paraId="55BA21FE" w14:textId="3A97B3E6" w:rsidR="00AA7DF4" w:rsidRPr="00AA7DF4" w:rsidRDefault="00AA7DF4" w:rsidP="00AA7DF4">
      <w:pPr>
        <w:pStyle w:val="Default"/>
        <w:rPr>
          <w:sz w:val="22"/>
          <w:szCs w:val="22"/>
        </w:rPr>
      </w:pPr>
      <w:r>
        <w:rPr>
          <w:sz w:val="22"/>
          <w:szCs w:val="22"/>
        </w:rPr>
        <w:t>9.</w:t>
      </w:r>
      <w:r w:rsidRPr="00AA7DF4">
        <w:t xml:space="preserve"> </w:t>
      </w:r>
      <w:r w:rsidRPr="00AA7DF4">
        <w:rPr>
          <w:b/>
          <w:bCs/>
          <w:sz w:val="22"/>
          <w:szCs w:val="22"/>
        </w:rPr>
        <w:t xml:space="preserve">FINAL PAYMENT: </w:t>
      </w:r>
      <w:r w:rsidRPr="00AA7DF4">
        <w:rPr>
          <w:sz w:val="22"/>
          <w:szCs w:val="22"/>
        </w:rPr>
        <w:t>Final payment under this Contract or under a termination settlement shall be made only after the satisfactory completion of work performed under this Contract and Contractor’s execution and delivery to the DEQ of a release of all claims against DEQ arising under or by virtue of this Contract. Unless otherwise provided herein, by Oklahoma law, or otherwise expressly agreed to by DEQ, Contractor and OMES, final payment under this Contract or settlement upon termination of this Contract shall not constitute a waiver of the State’s claims against Contractor, his sureties or his liability bonds held under this Contract.</w:t>
      </w:r>
    </w:p>
    <w:p w14:paraId="66177AD3" w14:textId="56D33AAB" w:rsidR="00AA7DF4" w:rsidRDefault="00AA7DF4" w:rsidP="00AA7DF4">
      <w:pPr>
        <w:pStyle w:val="Default"/>
        <w:rPr>
          <w:sz w:val="22"/>
          <w:szCs w:val="22"/>
        </w:rPr>
      </w:pPr>
      <w:r>
        <w:rPr>
          <w:sz w:val="22"/>
          <w:szCs w:val="22"/>
        </w:rPr>
        <w:t xml:space="preserve">10. </w:t>
      </w:r>
      <w:r>
        <w:rPr>
          <w:b/>
          <w:bCs/>
          <w:sz w:val="22"/>
          <w:szCs w:val="22"/>
        </w:rPr>
        <w:t xml:space="preserve">SUBCONTRACTS: </w:t>
      </w:r>
      <w:r>
        <w:rPr>
          <w:sz w:val="22"/>
          <w:szCs w:val="22"/>
        </w:rPr>
        <w:t xml:space="preserve">Contractor may not </w:t>
      </w:r>
      <w:r w:rsidR="00203095">
        <w:rPr>
          <w:sz w:val="22"/>
          <w:szCs w:val="22"/>
        </w:rPr>
        <w:t>enter</w:t>
      </w:r>
      <w:r>
        <w:rPr>
          <w:sz w:val="22"/>
          <w:szCs w:val="22"/>
        </w:rPr>
        <w:t xml:space="preserve"> any subcontracts to provide the services required by this contract without first receiving written approval from DEQ. DEQ reserves the right to not approve a subcontractor and Contractor will have to find a replacement. Any proposed agreements (e.g. licenses, maintenance agreements, etc.) that Contractor or any subcontractor(s) expects to be signed, as part of a resulting contract to this Request for Proposal (RFP), shall be approved or denied by DEQ and will or will not become a part of this contract. </w:t>
      </w:r>
    </w:p>
    <w:p w14:paraId="2DCFCD57" w14:textId="77777777" w:rsidR="00AA7DF4" w:rsidRDefault="00AA7DF4" w:rsidP="00AA7DF4">
      <w:pPr>
        <w:pStyle w:val="Default"/>
        <w:rPr>
          <w:sz w:val="22"/>
          <w:szCs w:val="22"/>
        </w:rPr>
      </w:pPr>
    </w:p>
    <w:p w14:paraId="18055089" w14:textId="77777777" w:rsidR="00AA7DF4" w:rsidRDefault="00AA7DF4" w:rsidP="00AA7DF4">
      <w:pPr>
        <w:pStyle w:val="Default"/>
        <w:rPr>
          <w:sz w:val="22"/>
          <w:szCs w:val="22"/>
        </w:rPr>
      </w:pPr>
      <w:r>
        <w:rPr>
          <w:sz w:val="22"/>
          <w:szCs w:val="22"/>
        </w:rPr>
        <w:t xml:space="preserve">11. </w:t>
      </w:r>
      <w:r>
        <w:rPr>
          <w:b/>
          <w:bCs/>
          <w:sz w:val="22"/>
          <w:szCs w:val="22"/>
        </w:rPr>
        <w:t xml:space="preserve">EXTENSION OF SERVICES: </w:t>
      </w:r>
      <w:r>
        <w:rPr>
          <w:sz w:val="22"/>
          <w:szCs w:val="22"/>
        </w:rPr>
        <w:t xml:space="preserve">Award of contracts for recurring and continuing service requirements are often delayed due to circumstances beyond the control of the DEQ. DEQ may require continued performance of any services within the scope and at the rates specified in the contract. The option provision may be exercised more than once, but the total extension of performance hereunder shall not exceed 6 months. DEQ may exercise the option by written notice to the Contractor. The preliminary notice does not commit DEQ to an extension. All previous terms and conditions contained within the contract and any amendments shall remain in force throughout any contract period extension resulting from this clause. </w:t>
      </w:r>
    </w:p>
    <w:p w14:paraId="1EEF47A7" w14:textId="77777777" w:rsidR="00AA7DF4" w:rsidRDefault="00AA7DF4" w:rsidP="00AA7DF4">
      <w:pPr>
        <w:pStyle w:val="Default"/>
        <w:rPr>
          <w:sz w:val="22"/>
          <w:szCs w:val="22"/>
        </w:rPr>
      </w:pPr>
    </w:p>
    <w:p w14:paraId="5C9C87C4" w14:textId="77777777" w:rsidR="00AA7DF4" w:rsidRDefault="00AA7DF4" w:rsidP="00AA7DF4">
      <w:pPr>
        <w:pStyle w:val="Default"/>
        <w:rPr>
          <w:sz w:val="22"/>
          <w:szCs w:val="22"/>
        </w:rPr>
      </w:pPr>
      <w:r>
        <w:rPr>
          <w:sz w:val="22"/>
          <w:szCs w:val="22"/>
        </w:rPr>
        <w:t xml:space="preserve">12. </w:t>
      </w:r>
      <w:r>
        <w:rPr>
          <w:b/>
          <w:bCs/>
          <w:sz w:val="22"/>
          <w:szCs w:val="22"/>
        </w:rPr>
        <w:t xml:space="preserve">UNAUTHORIZED OBLIGATION: </w:t>
      </w:r>
      <w:r>
        <w:rPr>
          <w:sz w:val="22"/>
          <w:szCs w:val="22"/>
        </w:rPr>
        <w:t xml:space="preserve">At no time during the performance of this contract shall the Contractor have the authority to obligate DEQ for payment of any goods or services over and above the awarded contract. If the need arises for goods or services over and above the awarded contract for this project, Contractor shall cease the project and contact the DEQ contract administrator for approval prior to proceeding. </w:t>
      </w:r>
    </w:p>
    <w:p w14:paraId="7C114995" w14:textId="77777777" w:rsidR="00AA7DF4" w:rsidRDefault="00AA7DF4" w:rsidP="00AA7DF4">
      <w:pPr>
        <w:pStyle w:val="Default"/>
        <w:rPr>
          <w:sz w:val="22"/>
          <w:szCs w:val="22"/>
        </w:rPr>
      </w:pPr>
    </w:p>
    <w:p w14:paraId="3E40E219" w14:textId="20E14DDE" w:rsidR="00AA7DF4" w:rsidRDefault="00AA7DF4" w:rsidP="00AA7DF4">
      <w:pPr>
        <w:pStyle w:val="Default"/>
        <w:rPr>
          <w:sz w:val="22"/>
          <w:szCs w:val="22"/>
        </w:rPr>
      </w:pPr>
      <w:r>
        <w:rPr>
          <w:sz w:val="22"/>
          <w:szCs w:val="22"/>
        </w:rPr>
        <w:t xml:space="preserve">13. </w:t>
      </w:r>
      <w:r>
        <w:rPr>
          <w:b/>
          <w:bCs/>
          <w:sz w:val="22"/>
          <w:szCs w:val="22"/>
        </w:rPr>
        <w:t xml:space="preserve">DAMAGES: </w:t>
      </w:r>
      <w:r>
        <w:rPr>
          <w:sz w:val="22"/>
          <w:szCs w:val="22"/>
        </w:rPr>
        <w:t xml:space="preserve">All work performed by Contractor’s personnel shall be designed to preclude damage or disfigurement. Damage and/or loss to property of DEQ; property of DEQ staff and property of guests; and/or neighboring property, as a result of negligence or intent by Contractor, or Contractor’s personnel shall be at Contractor’s expense. All replacements and repair will be at the current </w:t>
      </w:r>
      <w:r w:rsidR="00FE241D">
        <w:rPr>
          <w:sz w:val="22"/>
          <w:szCs w:val="22"/>
        </w:rPr>
        <w:t>cost and</w:t>
      </w:r>
      <w:r>
        <w:rPr>
          <w:sz w:val="22"/>
          <w:szCs w:val="22"/>
        </w:rPr>
        <w:t xml:space="preserve"> paid by the Contractor. DEQ shall not be held responsible for any of Contractor’s property and/or Contractor’s personnel’s property; including major Instrument which may be lost, damaged, or stolen unless such loss, damage or theft is due to the negligence or intent of DEQ’s employees or agents. </w:t>
      </w:r>
    </w:p>
    <w:p w14:paraId="5A2EB46B" w14:textId="77777777" w:rsidR="00AA7DF4" w:rsidRDefault="00AA7DF4" w:rsidP="00AA7DF4">
      <w:pPr>
        <w:pStyle w:val="Default"/>
        <w:rPr>
          <w:sz w:val="22"/>
          <w:szCs w:val="22"/>
        </w:rPr>
      </w:pPr>
    </w:p>
    <w:p w14:paraId="4CCC56D2" w14:textId="77777777" w:rsidR="00AA7DF4" w:rsidRDefault="00AA7DF4" w:rsidP="00AA7DF4">
      <w:pPr>
        <w:pStyle w:val="Default"/>
        <w:rPr>
          <w:sz w:val="22"/>
          <w:szCs w:val="22"/>
        </w:rPr>
      </w:pPr>
      <w:r>
        <w:rPr>
          <w:sz w:val="22"/>
          <w:szCs w:val="22"/>
        </w:rPr>
        <w:t xml:space="preserve">14. </w:t>
      </w:r>
      <w:r>
        <w:rPr>
          <w:b/>
          <w:bCs/>
          <w:sz w:val="22"/>
          <w:szCs w:val="22"/>
        </w:rPr>
        <w:t xml:space="preserve">COMMUNICATIONS: </w:t>
      </w:r>
      <w:r>
        <w:rPr>
          <w:sz w:val="22"/>
          <w:szCs w:val="22"/>
        </w:rPr>
        <w:t xml:space="preserve">All communications shall be in writing. Acknowledgement of communication from DEQ shall be made within twenty-four (24) hour of receipt of communication. All communication must be responded to within 5 business days </w:t>
      </w:r>
    </w:p>
    <w:p w14:paraId="48CF4486" w14:textId="334E99AE" w:rsidR="00554F12" w:rsidRDefault="00554F12" w:rsidP="00FE241D">
      <w:pPr>
        <w:pStyle w:val="ListParagraph"/>
        <w:tabs>
          <w:tab w:val="left" w:pos="0"/>
        </w:tabs>
        <w:spacing w:line="240" w:lineRule="auto"/>
        <w:ind w:left="0"/>
        <w:rPr>
          <w:rFonts w:ascii="Times New Roman" w:hAnsi="Times New Roman" w:cs="Times New Roman"/>
          <w:sz w:val="24"/>
          <w:szCs w:val="24"/>
        </w:rPr>
      </w:pPr>
    </w:p>
    <w:p w14:paraId="696A66D9" w14:textId="592723D2" w:rsidR="000507F3" w:rsidRPr="000507F3" w:rsidRDefault="000507F3" w:rsidP="00203095">
      <w:pPr>
        <w:rPr>
          <w:rFonts w:ascii="Times New Roman" w:hAnsi="Times New Roman" w:cs="Times New Roman"/>
        </w:rPr>
      </w:pPr>
      <w:r>
        <w:rPr>
          <w:rFonts w:ascii="Times New Roman" w:hAnsi="Times New Roman" w:cs="Times New Roman"/>
        </w:rPr>
        <w:t xml:space="preserve">15. </w:t>
      </w:r>
      <w:r w:rsidRPr="000507F3">
        <w:rPr>
          <w:rFonts w:ascii="Times New Roman" w:hAnsi="Times New Roman" w:cs="Times New Roman"/>
          <w:b/>
          <w:bCs/>
        </w:rPr>
        <w:t>PRICING</w:t>
      </w:r>
      <w:r>
        <w:rPr>
          <w:rFonts w:ascii="Times New Roman" w:hAnsi="Times New Roman" w:cs="Times New Roman"/>
          <w:b/>
          <w:bCs/>
        </w:rPr>
        <w:t xml:space="preserve">: </w:t>
      </w:r>
      <w:r w:rsidRPr="000507F3">
        <w:rPr>
          <w:rFonts w:ascii="Segoe UI" w:eastAsia="Times New Roman" w:hAnsi="Segoe UI" w:cs="Segoe UI"/>
          <w:sz w:val="21"/>
          <w:szCs w:val="21"/>
        </w:rPr>
        <w:t>The prices bid must be ail-Inclusive and additional Items will not be allowed to be billed separately.</w:t>
      </w:r>
      <w:r w:rsidRPr="000507F3">
        <w:rPr>
          <w:rFonts w:ascii="Segoe UI" w:eastAsia="Times New Roman" w:hAnsi="Segoe UI" w:cs="Segoe UI"/>
          <w:sz w:val="21"/>
          <w:szCs w:val="21"/>
        </w:rPr>
        <w:br/>
        <w:t xml:space="preserve">The pricing for additional parts and accessories is a catalog discount for items that may be needed in the future that are not listed in this specification and not the items listed in </w:t>
      </w:r>
      <w:r>
        <w:rPr>
          <w:rFonts w:ascii="Segoe UI" w:eastAsia="Times New Roman" w:hAnsi="Segoe UI" w:cs="Segoe UI"/>
          <w:sz w:val="21"/>
          <w:szCs w:val="21"/>
        </w:rPr>
        <w:t xml:space="preserve">exhibit </w:t>
      </w:r>
      <w:r w:rsidR="00203095">
        <w:rPr>
          <w:rFonts w:ascii="Segoe UI" w:eastAsia="Times New Roman" w:hAnsi="Segoe UI" w:cs="Segoe UI"/>
          <w:sz w:val="21"/>
          <w:szCs w:val="21"/>
        </w:rPr>
        <w:t>three (3)</w:t>
      </w:r>
      <w:r>
        <w:rPr>
          <w:rFonts w:ascii="Segoe UI" w:eastAsia="Times New Roman" w:hAnsi="Segoe UI" w:cs="Segoe UI"/>
          <w:sz w:val="21"/>
          <w:szCs w:val="21"/>
        </w:rPr>
        <w:t>.</w:t>
      </w:r>
      <w:r w:rsidRPr="000507F3">
        <w:rPr>
          <w:rFonts w:ascii="Segoe UI" w:eastAsia="Times New Roman" w:hAnsi="Segoe UI" w:cs="Segoe UI"/>
          <w:sz w:val="21"/>
          <w:szCs w:val="21"/>
        </w:rPr>
        <w:t xml:space="preserve"> </w:t>
      </w:r>
    </w:p>
    <w:sectPr w:rsidR="000507F3" w:rsidRPr="000507F3" w:rsidSect="00973F3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2"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2"/>
  </w:num>
  <w:num w:numId="2">
    <w:abstractNumId w:val="1"/>
  </w:num>
  <w:num w:numId="3">
    <w:abstractNumId w:val="5"/>
  </w:num>
  <w:num w:numId="4">
    <w:abstractNumId w:val="6"/>
  </w:num>
  <w:num w:numId="5">
    <w:abstractNumId w:val="0"/>
  </w:num>
  <w:num w:numId="6">
    <w:abstractNumId w:val="7"/>
  </w:num>
  <w:num w:numId="7">
    <w:abstractNumId w:val="8"/>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35F70"/>
    <w:rsid w:val="00037B74"/>
    <w:rsid w:val="000507F3"/>
    <w:rsid w:val="000550DA"/>
    <w:rsid w:val="00096500"/>
    <w:rsid w:val="00156816"/>
    <w:rsid w:val="001603B2"/>
    <w:rsid w:val="00186662"/>
    <w:rsid w:val="00203095"/>
    <w:rsid w:val="00204D4C"/>
    <w:rsid w:val="0021178C"/>
    <w:rsid w:val="00221F91"/>
    <w:rsid w:val="0026493E"/>
    <w:rsid w:val="002A1795"/>
    <w:rsid w:val="002F5236"/>
    <w:rsid w:val="00317A0E"/>
    <w:rsid w:val="00335AC3"/>
    <w:rsid w:val="0036540C"/>
    <w:rsid w:val="003B7FCE"/>
    <w:rsid w:val="003C658C"/>
    <w:rsid w:val="0046788B"/>
    <w:rsid w:val="0049787A"/>
    <w:rsid w:val="00554F12"/>
    <w:rsid w:val="00567AD2"/>
    <w:rsid w:val="00594D2F"/>
    <w:rsid w:val="006676A1"/>
    <w:rsid w:val="00711914"/>
    <w:rsid w:val="00714278"/>
    <w:rsid w:val="00755CFA"/>
    <w:rsid w:val="00780DAE"/>
    <w:rsid w:val="00814291"/>
    <w:rsid w:val="0083660C"/>
    <w:rsid w:val="0085294E"/>
    <w:rsid w:val="00880DB3"/>
    <w:rsid w:val="008A7EE7"/>
    <w:rsid w:val="00912AC7"/>
    <w:rsid w:val="00973F34"/>
    <w:rsid w:val="009E0BE6"/>
    <w:rsid w:val="009E6535"/>
    <w:rsid w:val="009F76DA"/>
    <w:rsid w:val="00A06B95"/>
    <w:rsid w:val="00A4663B"/>
    <w:rsid w:val="00A62CB2"/>
    <w:rsid w:val="00AA7DF4"/>
    <w:rsid w:val="00AB1D71"/>
    <w:rsid w:val="00AF082C"/>
    <w:rsid w:val="00B65C0F"/>
    <w:rsid w:val="00BB020E"/>
    <w:rsid w:val="00BD663C"/>
    <w:rsid w:val="00C24841"/>
    <w:rsid w:val="00C5300A"/>
    <w:rsid w:val="00CB553E"/>
    <w:rsid w:val="00E52753"/>
    <w:rsid w:val="00E55A1C"/>
    <w:rsid w:val="00E86695"/>
    <w:rsid w:val="00EA64C5"/>
    <w:rsid w:val="00EE55ED"/>
    <w:rsid w:val="00EE6F5B"/>
    <w:rsid w:val="00F926C7"/>
    <w:rsid w:val="00FB6A79"/>
    <w:rsid w:val="00FE2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paragraph" w:customStyle="1" w:styleId="Default">
    <w:name w:val="Default"/>
    <w:rsid w:val="00AA7DF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AA7DF4"/>
    <w:rPr>
      <w:color w:val="0563C1" w:themeColor="hyperlink"/>
      <w:u w:val="single"/>
    </w:rPr>
  </w:style>
  <w:style w:type="character" w:styleId="UnresolvedMention">
    <w:name w:val="Unresolved Mention"/>
    <w:basedOn w:val="DefaultParagraphFont"/>
    <w:uiPriority w:val="99"/>
    <w:semiHidden/>
    <w:unhideWhenUsed/>
    <w:rsid w:val="00AA7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223999">
      <w:bodyDiv w:val="1"/>
      <w:marLeft w:val="0"/>
      <w:marRight w:val="0"/>
      <w:marTop w:val="0"/>
      <w:marBottom w:val="0"/>
      <w:divBdr>
        <w:top w:val="none" w:sz="0" w:space="0" w:color="auto"/>
        <w:left w:val="none" w:sz="0" w:space="0" w:color="auto"/>
        <w:bottom w:val="none" w:sz="0" w:space="0" w:color="auto"/>
        <w:right w:val="none" w:sz="0" w:space="0" w:color="auto"/>
      </w:divBdr>
      <w:divsChild>
        <w:div w:id="1278175797">
          <w:marLeft w:val="0"/>
          <w:marRight w:val="0"/>
          <w:marTop w:val="0"/>
          <w:marBottom w:val="0"/>
          <w:divBdr>
            <w:top w:val="none" w:sz="0" w:space="0" w:color="auto"/>
            <w:left w:val="none" w:sz="0" w:space="0" w:color="auto"/>
            <w:bottom w:val="none" w:sz="0" w:space="0" w:color="auto"/>
            <w:right w:val="none" w:sz="0" w:space="0" w:color="auto"/>
          </w:divBdr>
        </w:div>
      </w:divsChild>
    </w:div>
    <w:div w:id="779107922">
      <w:bodyDiv w:val="1"/>
      <w:marLeft w:val="0"/>
      <w:marRight w:val="0"/>
      <w:marTop w:val="0"/>
      <w:marBottom w:val="0"/>
      <w:divBdr>
        <w:top w:val="none" w:sz="0" w:space="0" w:color="auto"/>
        <w:left w:val="none" w:sz="0" w:space="0" w:color="auto"/>
        <w:bottom w:val="none" w:sz="0" w:space="0" w:color="auto"/>
        <w:right w:val="none" w:sz="0" w:space="0" w:color="auto"/>
      </w:divBdr>
      <w:divsChild>
        <w:div w:id="313992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q.state.ok.u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sha.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3.epa.gov/ttn/amtic/airtox.html" TargetMode="External"/><Relationship Id="rId5" Type="http://schemas.openxmlformats.org/officeDocument/2006/relationships/styles" Target="styles.xml"/><Relationship Id="rId10" Type="http://schemas.openxmlformats.org/officeDocument/2006/relationships/hyperlink" Target="https://www.ecfr.gov/cgi-bin/ECFR?page=browse" TargetMode="External"/><Relationship Id="rId4" Type="http://schemas.openxmlformats.org/officeDocument/2006/relationships/numbering" Target="numbering.xml"/><Relationship Id="rId9" Type="http://schemas.openxmlformats.org/officeDocument/2006/relationships/hyperlink" Target="https://www.epa.gov/laws-regul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3" ma:contentTypeDescription="Create a new document." ma:contentTypeScope="" ma:versionID="d2dc7e27abf39b7c3d462b040d884132">
  <xsd:schema xmlns:xsd="http://www.w3.org/2001/XMLSchema" xmlns:xs="http://www.w3.org/2001/XMLSchema" xmlns:p="http://schemas.microsoft.com/office/2006/metadata/properties" xmlns:ns1="http://schemas.microsoft.com/sharepoint/v3" xmlns:ns3="aec6b55d-3de3-4884-82c9-9045bd390d40" xmlns:ns4="2616b61c-01e3-420e-954d-f9606dbef896" targetNamespace="http://schemas.microsoft.com/office/2006/metadata/properties" ma:root="true" ma:fieldsID="ee63e45ea37409098518d12401255c26" ns1:_="" ns3:_="" ns4:_="">
    <xsd:import namespace="http://schemas.microsoft.com/sharepoint/v3"/>
    <xsd:import namespace="aec6b55d-3de3-4884-82c9-9045bd390d40"/>
    <xsd:import namespace="2616b61c-01e3-420e-954d-f9606dbef89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EC2E7A-84AD-4BBC-B032-4C4416DD8409}">
  <ds:schemaRefs>
    <ds:schemaRef ds:uri="http://schemas.microsoft.com/office/infopath/2007/PartnerControls"/>
    <ds:schemaRef ds:uri="http://purl.org/dc/terms/"/>
    <ds:schemaRef ds:uri="aec6b55d-3de3-4884-82c9-9045bd390d40"/>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2616b61c-01e3-420e-954d-f9606dbef896"/>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30B7B780-B00B-44C7-BF20-3ABC2FC15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c6b55d-3de3-4884-82c9-9045bd390d40"/>
    <ds:schemaRef ds:uri="2616b61c-01e3-420e-954d-f9606dbef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24E77-455E-4DD2-A797-EE7F0DA77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Cinnamon Alexander</cp:lastModifiedBy>
  <cp:revision>14</cp:revision>
  <dcterms:created xsi:type="dcterms:W3CDTF">2021-04-16T19:47:00Z</dcterms:created>
  <dcterms:modified xsi:type="dcterms:W3CDTF">2021-07-22T15:05:00Z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