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3" w:type="dxa"/>
        <w:tblLook w:val="04A0" w:firstRow="1" w:lastRow="0" w:firstColumn="1" w:lastColumn="0" w:noHBand="0" w:noVBand="1"/>
      </w:tblPr>
      <w:tblGrid>
        <w:gridCol w:w="4393"/>
        <w:gridCol w:w="2920"/>
        <w:gridCol w:w="180"/>
        <w:gridCol w:w="1840"/>
        <w:gridCol w:w="1760"/>
        <w:gridCol w:w="80"/>
      </w:tblGrid>
      <w:tr w:rsidR="00234DDB" w:rsidRPr="00C61B2A" w:rsidTr="00A92686">
        <w:trPr>
          <w:trHeight w:val="315"/>
        </w:trPr>
        <w:tc>
          <w:tcPr>
            <w:tcW w:w="11173" w:type="dxa"/>
            <w:gridSpan w:val="6"/>
            <w:tcBorders>
              <w:top w:val="nil"/>
              <w:left w:val="nil"/>
              <w:bottom w:val="nil"/>
              <w:right w:val="nil"/>
            </w:tcBorders>
            <w:shd w:val="clear" w:color="auto" w:fill="auto"/>
            <w:noWrap/>
            <w:hideMark/>
          </w:tcPr>
          <w:p w:rsidR="00234DDB" w:rsidRDefault="00234DDB" w:rsidP="00A92686">
            <w:pPr>
              <w:spacing w:after="0" w:line="240" w:lineRule="auto"/>
              <w:ind w:left="0" w:right="0" w:firstLine="0"/>
              <w:jc w:val="left"/>
              <w:rPr>
                <w:rFonts w:ascii="Arial" w:hAnsi="Arial" w:cs="Arial"/>
                <w:b/>
                <w:bCs/>
                <w:sz w:val="28"/>
                <w:szCs w:val="28"/>
              </w:rPr>
            </w:pPr>
            <w:r>
              <w:rPr>
                <w:rFonts w:ascii="Arial" w:hAnsi="Arial" w:cs="Arial"/>
                <w:b/>
                <w:bCs/>
                <w:sz w:val="28"/>
                <w:szCs w:val="28"/>
              </w:rPr>
              <w:t>ATTACHMENT 19</w:t>
            </w:r>
          </w:p>
          <w:p w:rsidR="00234DDB" w:rsidRPr="00ED2F95" w:rsidRDefault="00234DDB" w:rsidP="00A92686">
            <w:pPr>
              <w:spacing w:after="0" w:line="240" w:lineRule="auto"/>
              <w:ind w:left="0" w:right="0" w:firstLine="0"/>
              <w:jc w:val="left"/>
              <w:rPr>
                <w:rFonts w:ascii="Arial" w:hAnsi="Arial" w:cs="Arial"/>
                <w:b/>
                <w:bCs/>
                <w:sz w:val="28"/>
                <w:szCs w:val="28"/>
              </w:rPr>
            </w:pPr>
          </w:p>
          <w:p w:rsidR="00234DDB" w:rsidRPr="00C61B2A" w:rsidRDefault="00234DDB" w:rsidP="00A92686">
            <w:pPr>
              <w:spacing w:after="0" w:line="240" w:lineRule="auto"/>
              <w:ind w:left="0" w:right="0" w:firstLine="0"/>
              <w:jc w:val="center"/>
              <w:rPr>
                <w:rFonts w:ascii="Arial" w:hAnsi="Arial" w:cs="Arial"/>
                <w:sz w:val="22"/>
              </w:rPr>
            </w:pPr>
          </w:p>
        </w:tc>
      </w:tr>
      <w:tr w:rsidR="00234DDB" w:rsidRPr="00C61B2A" w:rsidTr="00A92686">
        <w:trPr>
          <w:trHeight w:val="1005"/>
        </w:trPr>
        <w:tc>
          <w:tcPr>
            <w:tcW w:w="11173" w:type="dxa"/>
            <w:gridSpan w:val="6"/>
            <w:tcBorders>
              <w:top w:val="nil"/>
              <w:left w:val="nil"/>
              <w:bottom w:val="nil"/>
              <w:right w:val="nil"/>
            </w:tcBorders>
            <w:shd w:val="clear" w:color="auto" w:fill="auto"/>
            <w:vAlign w:val="bottom"/>
            <w:hideMark/>
          </w:tcPr>
          <w:p w:rsidR="00234DDB" w:rsidRPr="00893974" w:rsidRDefault="00234DDB" w:rsidP="00A92686">
            <w:pPr>
              <w:spacing w:after="0" w:line="240" w:lineRule="auto"/>
              <w:ind w:left="0" w:right="0" w:firstLine="0"/>
              <w:jc w:val="center"/>
              <w:rPr>
                <w:rFonts w:ascii="Arial" w:hAnsi="Arial" w:cs="Arial"/>
                <w:b/>
                <w:bCs/>
                <w:sz w:val="36"/>
                <w:szCs w:val="36"/>
                <w:highlight w:val="yellow"/>
              </w:rPr>
            </w:pPr>
            <w:r w:rsidRPr="00893974">
              <w:rPr>
                <w:rFonts w:ascii="Arial" w:hAnsi="Arial" w:cs="Arial"/>
                <w:b/>
                <w:bCs/>
                <w:sz w:val="36"/>
                <w:szCs w:val="36"/>
                <w:highlight w:val="yellow"/>
              </w:rPr>
              <w:t>Coverage for High Option</w:t>
            </w:r>
            <w:r w:rsidRPr="00893974">
              <w:rPr>
                <w:rFonts w:ascii="Arial" w:hAnsi="Arial" w:cs="Arial"/>
                <w:b/>
                <w:bCs/>
                <w:sz w:val="36"/>
                <w:szCs w:val="36"/>
                <w:highlight w:val="yellow"/>
              </w:rPr>
              <w:br/>
              <w:t>Medicare Supplement and MAPD PPO Plans</w:t>
            </w:r>
          </w:p>
        </w:tc>
      </w:tr>
      <w:tr w:rsidR="00234DDB" w:rsidRPr="00C61B2A" w:rsidTr="00A92686">
        <w:trPr>
          <w:trHeight w:val="900"/>
        </w:trPr>
        <w:tc>
          <w:tcPr>
            <w:tcW w:w="11173" w:type="dxa"/>
            <w:gridSpan w:val="6"/>
            <w:tcBorders>
              <w:top w:val="nil"/>
              <w:left w:val="nil"/>
              <w:bottom w:val="nil"/>
              <w:right w:val="nil"/>
            </w:tcBorders>
            <w:shd w:val="clear" w:color="auto" w:fill="auto"/>
            <w:hideMark/>
          </w:tcPr>
          <w:p w:rsidR="00234DDB" w:rsidRPr="00893974" w:rsidRDefault="00234DDB" w:rsidP="00A92686">
            <w:pPr>
              <w:spacing w:after="0" w:line="240" w:lineRule="auto"/>
              <w:ind w:left="0" w:right="0" w:firstLine="0"/>
              <w:jc w:val="center"/>
              <w:rPr>
                <w:rFonts w:ascii="Arial" w:hAnsi="Arial" w:cs="Arial"/>
                <w:b/>
                <w:bCs/>
                <w:sz w:val="28"/>
                <w:szCs w:val="28"/>
                <w:highlight w:val="yellow"/>
              </w:rPr>
            </w:pPr>
            <w:r w:rsidRPr="00893974">
              <w:rPr>
                <w:rFonts w:ascii="Arial" w:hAnsi="Arial" w:cs="Arial"/>
                <w:b/>
                <w:bCs/>
                <w:sz w:val="28"/>
                <w:szCs w:val="28"/>
                <w:highlight w:val="yellow"/>
              </w:rPr>
              <w:t>Medicare Part A (Hospitalization) Services</w:t>
            </w:r>
            <w:r w:rsidRPr="00893974">
              <w:rPr>
                <w:rFonts w:ascii="Arial" w:hAnsi="Arial" w:cs="Arial"/>
                <w:b/>
                <w:bCs/>
                <w:sz w:val="28"/>
                <w:szCs w:val="28"/>
                <w:highlight w:val="yellow"/>
              </w:rPr>
              <w:br/>
              <w:t>All Benefits are Based on Medicare-Approved Amounts</w:t>
            </w: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hideMark/>
          </w:tcPr>
          <w:p w:rsidR="00234DDB" w:rsidRPr="00893974" w:rsidRDefault="00234DDB" w:rsidP="00A92686">
            <w:pPr>
              <w:spacing w:after="0" w:line="240" w:lineRule="auto"/>
              <w:ind w:left="0" w:right="0" w:firstLine="0"/>
              <w:jc w:val="left"/>
              <w:rPr>
                <w:rFonts w:ascii="Arial" w:hAnsi="Arial" w:cs="Arial"/>
                <w:b/>
                <w:sz w:val="22"/>
                <w:highlight w:val="yellow"/>
              </w:rPr>
            </w:pPr>
            <w:r w:rsidRPr="00893974">
              <w:rPr>
                <w:rFonts w:ascii="Arial" w:hAnsi="Arial" w:cs="Arial"/>
                <w:b/>
                <w:sz w:val="22"/>
                <w:highlight w:val="yellow"/>
              </w:rPr>
              <w:t>Indicate Type of Plan:</w:t>
            </w: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tcPr>
          <w:p w:rsidR="00234DDB" w:rsidRPr="00893974" w:rsidRDefault="00234DDB" w:rsidP="00A92686">
            <w:pPr>
              <w:spacing w:after="0" w:line="240" w:lineRule="auto"/>
              <w:ind w:left="0" w:right="0" w:firstLine="0"/>
              <w:jc w:val="left"/>
              <w:rPr>
                <w:rFonts w:ascii="Arial" w:hAnsi="Arial" w:cs="Arial"/>
                <w:b/>
                <w:sz w:val="22"/>
                <w:highlight w:val="yellow"/>
              </w:rPr>
            </w:pPr>
            <w:r w:rsidRPr="00893974">
              <w:rPr>
                <w:rFonts w:ascii="Arial" w:hAnsi="Arial" w:cs="Arial"/>
                <w:b/>
                <w:sz w:val="22"/>
                <w:highlight w:val="yellow"/>
              </w:rPr>
              <w:t xml:space="preserve">        </w:t>
            </w:r>
            <w:sdt>
              <w:sdtPr>
                <w:rPr>
                  <w:rFonts w:ascii="Arial" w:hAnsi="Arial" w:cs="Arial"/>
                  <w:b/>
                  <w:sz w:val="22"/>
                  <w:highlight w:val="yellow"/>
                </w:rPr>
                <w:id w:val="-1101174824"/>
                <w14:checkbox>
                  <w14:checked w14:val="0"/>
                  <w14:checkedState w14:val="2612" w14:font="MS Gothic"/>
                  <w14:uncheckedState w14:val="2610" w14:font="MS Gothic"/>
                </w14:checkbox>
              </w:sdtPr>
              <w:sdtEndPr/>
              <w:sdtContent>
                <w:r w:rsidRPr="00893974">
                  <w:rPr>
                    <w:rFonts w:ascii="MS Gothic" w:eastAsia="MS Gothic" w:hAnsi="MS Gothic" w:cs="Arial" w:hint="eastAsia"/>
                    <w:b/>
                    <w:sz w:val="22"/>
                    <w:highlight w:val="yellow"/>
                  </w:rPr>
                  <w:t>☐</w:t>
                </w:r>
              </w:sdtContent>
            </w:sdt>
            <w:r w:rsidRPr="00893974">
              <w:rPr>
                <w:rFonts w:ascii="Arial" w:hAnsi="Arial" w:cs="Arial"/>
                <w:b/>
                <w:sz w:val="22"/>
                <w:highlight w:val="yellow"/>
              </w:rPr>
              <w:t xml:space="preserve">  Medicare Supplement</w:t>
            </w:r>
          </w:p>
        </w:tc>
        <w:tc>
          <w:tcPr>
            <w:tcW w:w="1840" w:type="dxa"/>
            <w:tcBorders>
              <w:top w:val="nil"/>
              <w:left w:val="nil"/>
              <w:bottom w:val="nil"/>
              <w:right w:val="nil"/>
            </w:tcBorders>
            <w:shd w:val="clear" w:color="auto" w:fill="auto"/>
            <w:vAlign w:val="bottom"/>
          </w:tcPr>
          <w:p w:rsidR="00234DDB" w:rsidRPr="00C61B2A" w:rsidRDefault="00234DDB" w:rsidP="00A92686">
            <w:pPr>
              <w:spacing w:after="0" w:line="240" w:lineRule="auto"/>
              <w:ind w:left="0" w:right="0" w:firstLine="0"/>
              <w:jc w:val="left"/>
              <w:rPr>
                <w:rFonts w:ascii="Arial" w:hAnsi="Arial" w:cs="Arial"/>
                <w:sz w:val="22"/>
              </w:rPr>
            </w:pPr>
          </w:p>
        </w:tc>
        <w:tc>
          <w:tcPr>
            <w:tcW w:w="1840" w:type="dxa"/>
            <w:gridSpan w:val="2"/>
            <w:tcBorders>
              <w:top w:val="nil"/>
              <w:left w:val="nil"/>
              <w:bottom w:val="nil"/>
              <w:right w:val="nil"/>
            </w:tcBorders>
            <w:shd w:val="clear" w:color="auto" w:fill="auto"/>
            <w:noWrap/>
            <w:vAlign w:val="bottom"/>
          </w:tcPr>
          <w:p w:rsidR="00234DDB" w:rsidRPr="00C61B2A" w:rsidRDefault="00234DDB" w:rsidP="00A92686">
            <w:pPr>
              <w:spacing w:after="0" w:line="240" w:lineRule="auto"/>
              <w:ind w:left="0" w:right="0" w:firstLine="0"/>
              <w:jc w:val="left"/>
              <w:rPr>
                <w:rFonts w:ascii="Arial" w:hAnsi="Arial" w:cs="Arial"/>
                <w:sz w:val="22"/>
              </w:rPr>
            </w:pP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tcPr>
          <w:p w:rsidR="00234DDB" w:rsidRPr="00893974" w:rsidRDefault="00234DDB" w:rsidP="00A92686">
            <w:pPr>
              <w:spacing w:after="0" w:line="240" w:lineRule="auto"/>
              <w:ind w:left="0" w:right="0" w:firstLine="0"/>
              <w:jc w:val="left"/>
              <w:rPr>
                <w:rFonts w:ascii="Arial" w:hAnsi="Arial" w:cs="Arial"/>
                <w:b/>
                <w:sz w:val="22"/>
                <w:highlight w:val="yellow"/>
              </w:rPr>
            </w:pPr>
            <w:r w:rsidRPr="00893974">
              <w:rPr>
                <w:rFonts w:ascii="Arial" w:hAnsi="Arial" w:cs="Arial"/>
                <w:b/>
                <w:sz w:val="22"/>
                <w:highlight w:val="yellow"/>
              </w:rPr>
              <w:t xml:space="preserve">        </w:t>
            </w:r>
            <w:sdt>
              <w:sdtPr>
                <w:rPr>
                  <w:rFonts w:ascii="Arial" w:hAnsi="Arial" w:cs="Arial"/>
                  <w:b/>
                  <w:sz w:val="22"/>
                  <w:highlight w:val="yellow"/>
                </w:rPr>
                <w:id w:val="667294471"/>
                <w14:checkbox>
                  <w14:checked w14:val="0"/>
                  <w14:checkedState w14:val="2612" w14:font="MS Gothic"/>
                  <w14:uncheckedState w14:val="2610" w14:font="MS Gothic"/>
                </w14:checkbox>
              </w:sdtPr>
              <w:sdtEndPr/>
              <w:sdtContent>
                <w:r w:rsidRPr="00893974">
                  <w:rPr>
                    <w:rFonts w:ascii="MS Gothic" w:eastAsia="MS Gothic" w:hAnsi="MS Gothic" w:cs="Arial" w:hint="eastAsia"/>
                    <w:b/>
                    <w:sz w:val="22"/>
                    <w:highlight w:val="yellow"/>
                  </w:rPr>
                  <w:t>☐</w:t>
                </w:r>
              </w:sdtContent>
            </w:sdt>
            <w:r w:rsidRPr="00893974">
              <w:rPr>
                <w:rFonts w:ascii="Arial" w:hAnsi="Arial" w:cs="Arial"/>
                <w:b/>
                <w:sz w:val="22"/>
                <w:highlight w:val="yellow"/>
              </w:rPr>
              <w:t xml:space="preserve"> </w:t>
            </w:r>
            <w:r w:rsidR="0002479C">
              <w:rPr>
                <w:rFonts w:ascii="Arial" w:hAnsi="Arial" w:cs="Arial"/>
                <w:b/>
                <w:sz w:val="22"/>
                <w:highlight w:val="yellow"/>
              </w:rPr>
              <w:t xml:space="preserve"> </w:t>
            </w:r>
            <w:bookmarkStart w:id="0" w:name="_GoBack"/>
            <w:bookmarkEnd w:id="0"/>
            <w:r w:rsidRPr="00893974">
              <w:rPr>
                <w:rFonts w:ascii="Arial" w:hAnsi="Arial" w:cs="Arial"/>
                <w:b/>
                <w:sz w:val="22"/>
                <w:highlight w:val="yellow"/>
              </w:rPr>
              <w:t>MAPD PPO</w:t>
            </w:r>
          </w:p>
        </w:tc>
        <w:tc>
          <w:tcPr>
            <w:tcW w:w="1840" w:type="dxa"/>
            <w:tcBorders>
              <w:top w:val="nil"/>
              <w:left w:val="nil"/>
              <w:bottom w:val="nil"/>
              <w:right w:val="nil"/>
            </w:tcBorders>
            <w:shd w:val="clear" w:color="auto" w:fill="auto"/>
            <w:vAlign w:val="bottom"/>
          </w:tcPr>
          <w:p w:rsidR="00234DDB" w:rsidRPr="00C61B2A" w:rsidRDefault="00234DDB" w:rsidP="00A92686">
            <w:pPr>
              <w:spacing w:after="0" w:line="240" w:lineRule="auto"/>
              <w:ind w:left="0" w:right="0" w:firstLine="0"/>
              <w:jc w:val="left"/>
              <w:rPr>
                <w:rFonts w:ascii="Arial" w:hAnsi="Arial" w:cs="Arial"/>
                <w:sz w:val="22"/>
              </w:rPr>
            </w:pPr>
          </w:p>
        </w:tc>
        <w:tc>
          <w:tcPr>
            <w:tcW w:w="1840" w:type="dxa"/>
            <w:gridSpan w:val="2"/>
            <w:tcBorders>
              <w:top w:val="nil"/>
              <w:left w:val="nil"/>
              <w:bottom w:val="nil"/>
              <w:right w:val="nil"/>
            </w:tcBorders>
            <w:shd w:val="clear" w:color="auto" w:fill="auto"/>
            <w:noWrap/>
            <w:vAlign w:val="bottom"/>
          </w:tcPr>
          <w:p w:rsidR="00234DDB" w:rsidRPr="00C61B2A" w:rsidRDefault="00234DDB" w:rsidP="00A92686">
            <w:pPr>
              <w:spacing w:after="0" w:line="240" w:lineRule="auto"/>
              <w:ind w:left="0" w:right="0" w:firstLine="0"/>
              <w:jc w:val="left"/>
              <w:rPr>
                <w:rFonts w:ascii="Arial" w:hAnsi="Arial" w:cs="Arial"/>
                <w:sz w:val="22"/>
              </w:rPr>
            </w:pPr>
          </w:p>
        </w:tc>
      </w:tr>
      <w:tr w:rsidR="00234DDB" w:rsidRPr="00C61B2A" w:rsidTr="00A92686">
        <w:trPr>
          <w:trHeight w:val="63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Cs w:val="24"/>
              </w:rPr>
            </w:pPr>
            <w:r w:rsidRPr="00C61B2A">
              <w:rPr>
                <w:rFonts w:ascii="Arial" w:hAnsi="Arial" w:cs="Arial"/>
                <w:b/>
                <w:bCs/>
                <w:szCs w:val="24"/>
              </w:rPr>
              <w:t>Part A Network Services</w:t>
            </w:r>
          </w:p>
        </w:tc>
        <w:tc>
          <w:tcPr>
            <w:tcW w:w="1840" w:type="dxa"/>
            <w:tcBorders>
              <w:top w:val="single" w:sz="4" w:space="0" w:color="auto"/>
              <w:left w:val="nil"/>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893974">
              <w:rPr>
                <w:rFonts w:ascii="Arial" w:hAnsi="Arial" w:cs="Arial"/>
                <w:b/>
                <w:bCs/>
                <w:szCs w:val="24"/>
                <w:highlight w:val="yellow"/>
              </w:rPr>
              <w:t>Supplier’s Plan Pays</w:t>
            </w:r>
          </w:p>
        </w:tc>
        <w:tc>
          <w:tcPr>
            <w:tcW w:w="1840" w:type="dxa"/>
            <w:gridSpan w:val="2"/>
            <w:tcBorders>
              <w:top w:val="single" w:sz="4" w:space="0" w:color="auto"/>
              <w:left w:val="nil"/>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proofErr w:type="spellStart"/>
            <w:r w:rsidRPr="00C61B2A">
              <w:rPr>
                <w:rFonts w:ascii="Arial" w:hAnsi="Arial" w:cs="Arial"/>
                <w:b/>
                <w:bCs/>
                <w:szCs w:val="24"/>
              </w:rPr>
              <w:t>HealthChoice</w:t>
            </w:r>
            <w:proofErr w:type="spellEnd"/>
            <w:r w:rsidRPr="00C61B2A">
              <w:rPr>
                <w:rFonts w:ascii="Arial" w:hAnsi="Arial" w:cs="Arial"/>
                <w:b/>
                <w:bCs/>
                <w:szCs w:val="24"/>
              </w:rPr>
              <w:t xml:space="preserve"> Pays</w:t>
            </w:r>
          </w:p>
        </w:tc>
      </w:tr>
      <w:tr w:rsidR="00234DDB" w:rsidRPr="00C61B2A" w:rsidTr="00A92686">
        <w:trPr>
          <w:trHeight w:val="300"/>
        </w:trPr>
        <w:tc>
          <w:tcPr>
            <w:tcW w:w="7493" w:type="dxa"/>
            <w:gridSpan w:val="3"/>
            <w:tcBorders>
              <w:top w:val="nil"/>
              <w:left w:val="single" w:sz="4" w:space="0" w:color="auto"/>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HOSPITALIZATION</w:t>
            </w:r>
          </w:p>
        </w:tc>
        <w:tc>
          <w:tcPr>
            <w:tcW w:w="1840" w:type="dxa"/>
            <w:tcBorders>
              <w:top w:val="single" w:sz="4" w:space="0" w:color="auto"/>
              <w:left w:val="single" w:sz="4" w:space="0" w:color="auto"/>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single" w:sz="4" w:space="0" w:color="auto"/>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570"/>
        </w:trPr>
        <w:tc>
          <w:tcPr>
            <w:tcW w:w="7493" w:type="dxa"/>
            <w:gridSpan w:val="3"/>
            <w:tcBorders>
              <w:top w:val="nil"/>
              <w:left w:val="single" w:sz="4" w:space="0" w:color="auto"/>
              <w:bottom w:val="nil"/>
              <w:right w:val="nil"/>
            </w:tcBorders>
            <w:shd w:val="clear" w:color="auto" w:fill="auto"/>
            <w:vAlign w:val="bottom"/>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semiprivate room, meals, drugs as part of your inpatient treatment, and other hospital services and supplies</w:t>
            </w:r>
          </w:p>
        </w:tc>
        <w:tc>
          <w:tcPr>
            <w:tcW w:w="1840" w:type="dxa"/>
            <w:tcBorders>
              <w:top w:val="nil"/>
              <w:left w:val="single" w:sz="4" w:space="0" w:color="auto"/>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525"/>
        </w:trPr>
        <w:tc>
          <w:tcPr>
            <w:tcW w:w="7493" w:type="dxa"/>
            <w:gridSpan w:val="3"/>
            <w:tcBorders>
              <w:top w:val="nil"/>
              <w:left w:val="single" w:sz="4" w:space="0" w:color="auto"/>
              <w:bottom w:val="single" w:sz="4" w:space="0" w:color="A6A6A6"/>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First sixty 60 days</w:t>
            </w:r>
          </w:p>
        </w:tc>
        <w:tc>
          <w:tcPr>
            <w:tcW w:w="1840" w:type="dxa"/>
            <w:tcBorders>
              <w:top w:val="nil"/>
              <w:left w:val="single" w:sz="4" w:space="0" w:color="auto"/>
              <w:bottom w:val="single" w:sz="4" w:space="0" w:color="A6A6A6"/>
              <w:right w:val="single" w:sz="4" w:space="0" w:color="auto"/>
            </w:tcBorders>
            <w:shd w:val="clear" w:color="000000" w:fill="F2DCDB"/>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6A6A6"/>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100% of the Part A deductible</w:t>
            </w:r>
          </w:p>
        </w:tc>
      </w:tr>
      <w:tr w:rsidR="00234DDB" w:rsidRPr="00C61B2A" w:rsidTr="00A92686">
        <w:trPr>
          <w:trHeight w:val="480"/>
        </w:trPr>
        <w:tc>
          <w:tcPr>
            <w:tcW w:w="7493" w:type="dxa"/>
            <w:gridSpan w:val="3"/>
            <w:tcBorders>
              <w:top w:val="nil"/>
              <w:left w:val="single" w:sz="4" w:space="0" w:color="auto"/>
              <w:bottom w:val="single" w:sz="4" w:space="0" w:color="A6A6A6"/>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Days 61 through 90</w:t>
            </w:r>
          </w:p>
        </w:tc>
        <w:tc>
          <w:tcPr>
            <w:tcW w:w="1840" w:type="dxa"/>
            <w:tcBorders>
              <w:top w:val="nil"/>
              <w:left w:val="single" w:sz="4" w:space="0" w:color="auto"/>
              <w:bottom w:val="single" w:sz="4" w:space="0" w:color="A6A6A6"/>
              <w:right w:val="single" w:sz="4" w:space="0" w:color="auto"/>
            </w:tcBorders>
            <w:shd w:val="clear" w:color="000000" w:fill="F2DCDB"/>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6A6A6"/>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Coinsurance per day</w:t>
            </w:r>
          </w:p>
        </w:tc>
      </w:tr>
      <w:tr w:rsidR="00234DDB" w:rsidRPr="00C61B2A" w:rsidTr="00A92686">
        <w:trPr>
          <w:trHeight w:val="480"/>
        </w:trPr>
        <w:tc>
          <w:tcPr>
            <w:tcW w:w="7493" w:type="dxa"/>
            <w:gridSpan w:val="3"/>
            <w:tcBorders>
              <w:top w:val="nil"/>
              <w:left w:val="single" w:sz="4" w:space="0" w:color="auto"/>
              <w:bottom w:val="single" w:sz="4" w:space="0" w:color="A6A6A6"/>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Days 91 and after while using Medicare's 60 lifetime reserve days</w:t>
            </w:r>
          </w:p>
        </w:tc>
        <w:tc>
          <w:tcPr>
            <w:tcW w:w="1840" w:type="dxa"/>
            <w:tcBorders>
              <w:top w:val="nil"/>
              <w:left w:val="single" w:sz="4" w:space="0" w:color="auto"/>
              <w:bottom w:val="single" w:sz="4" w:space="0" w:color="A6A6A6"/>
              <w:right w:val="single" w:sz="4" w:space="0" w:color="auto"/>
            </w:tcBorders>
            <w:shd w:val="clear" w:color="000000" w:fill="F2DCDB"/>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6A6A6"/>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Coinsurance per day</w:t>
            </w:r>
          </w:p>
        </w:tc>
      </w:tr>
      <w:tr w:rsidR="00234DDB" w:rsidRPr="00C61B2A" w:rsidTr="00A92686">
        <w:trPr>
          <w:trHeight w:val="1110"/>
        </w:trPr>
        <w:tc>
          <w:tcPr>
            <w:tcW w:w="7493" w:type="dxa"/>
            <w:gridSpan w:val="3"/>
            <w:tcBorders>
              <w:top w:val="nil"/>
              <w:left w:val="single" w:sz="4" w:space="0" w:color="auto"/>
              <w:bottom w:val="single" w:sz="4" w:space="0" w:color="A6A6A6"/>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Once Medicare's lifetime reserve days are used, the plan provides additional lifetime reserve days</w:t>
            </w:r>
          </w:p>
        </w:tc>
        <w:tc>
          <w:tcPr>
            <w:tcW w:w="1840" w:type="dxa"/>
            <w:tcBorders>
              <w:top w:val="nil"/>
              <w:left w:val="single" w:sz="4" w:space="0" w:color="auto"/>
              <w:bottom w:val="single" w:sz="4" w:space="0" w:color="A6A6A6"/>
              <w:right w:val="single" w:sz="4" w:space="0" w:color="auto"/>
            </w:tcBorders>
            <w:shd w:val="clear" w:color="000000" w:fill="F2DCDB"/>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6A6A6"/>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100% of Medicare eligible expenses</w:t>
            </w:r>
            <w:r w:rsidRPr="00C61B2A">
              <w:rPr>
                <w:rFonts w:ascii="Arial" w:hAnsi="Arial" w:cs="Arial"/>
                <w:sz w:val="18"/>
                <w:szCs w:val="18"/>
              </w:rPr>
              <w:br/>
            </w:r>
            <w:r w:rsidRPr="00C61B2A">
              <w:rPr>
                <w:rFonts w:ascii="Arial" w:hAnsi="Arial" w:cs="Arial"/>
                <w:sz w:val="18"/>
                <w:szCs w:val="18"/>
              </w:rPr>
              <w:br/>
              <w:t>Limited to 365 days</w:t>
            </w:r>
          </w:p>
        </w:tc>
      </w:tr>
      <w:tr w:rsidR="00234DDB" w:rsidRPr="00C61B2A" w:rsidTr="00A92686">
        <w:trPr>
          <w:trHeight w:val="345"/>
        </w:trPr>
        <w:tc>
          <w:tcPr>
            <w:tcW w:w="7493" w:type="dxa"/>
            <w:gridSpan w:val="3"/>
            <w:tcBorders>
              <w:top w:val="nil"/>
              <w:left w:val="single" w:sz="4" w:space="0" w:color="auto"/>
              <w:bottom w:val="single" w:sz="4" w:space="0" w:color="auto"/>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Beyond the plan's lifetime reserve days</w:t>
            </w:r>
          </w:p>
        </w:tc>
        <w:tc>
          <w:tcPr>
            <w:tcW w:w="1840" w:type="dxa"/>
            <w:tcBorders>
              <w:top w:val="nil"/>
              <w:left w:val="single" w:sz="4" w:space="0" w:color="auto"/>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right"/>
              <w:rPr>
                <w:rFonts w:ascii="Arial" w:hAnsi="Arial" w:cs="Arial"/>
                <w:sz w:val="18"/>
                <w:szCs w:val="18"/>
              </w:rPr>
            </w:pPr>
            <w:r w:rsidRPr="00C61B2A">
              <w:rPr>
                <w:rFonts w:ascii="Arial" w:hAnsi="Arial" w:cs="Arial"/>
                <w:sz w:val="18"/>
                <w:szCs w:val="18"/>
              </w:rPr>
              <w:t>0%</w:t>
            </w:r>
          </w:p>
        </w:tc>
      </w:tr>
      <w:tr w:rsidR="00234DDB" w:rsidRPr="00C61B2A" w:rsidTr="00A92686">
        <w:trPr>
          <w:trHeight w:val="285"/>
        </w:trPr>
        <w:tc>
          <w:tcPr>
            <w:tcW w:w="7493" w:type="dxa"/>
            <w:gridSpan w:val="3"/>
            <w:tcBorders>
              <w:top w:val="nil"/>
              <w:left w:val="single" w:sz="4" w:space="0" w:color="auto"/>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SKILLED NURSE FACILITY CARE</w:t>
            </w:r>
          </w:p>
        </w:tc>
        <w:tc>
          <w:tcPr>
            <w:tcW w:w="1840" w:type="dxa"/>
            <w:tcBorders>
              <w:top w:val="nil"/>
              <w:left w:val="single" w:sz="4" w:space="0" w:color="auto"/>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975"/>
        </w:trPr>
        <w:tc>
          <w:tcPr>
            <w:tcW w:w="7493" w:type="dxa"/>
            <w:gridSpan w:val="3"/>
            <w:tcBorders>
              <w:top w:val="nil"/>
              <w:left w:val="single" w:sz="4" w:space="0" w:color="auto"/>
              <w:bottom w:val="nil"/>
              <w:right w:val="nil"/>
            </w:tcBorders>
            <w:shd w:val="clear" w:color="auto" w:fill="auto"/>
            <w:vAlign w:val="bottom"/>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Must meet Medicare requirements, including inpatient hospitalization for at least 3 days and entering a Medicare-approved facility within 30 days of leaving the hospital; limited to 100 days per calendar year</w:t>
            </w:r>
          </w:p>
        </w:tc>
        <w:tc>
          <w:tcPr>
            <w:tcW w:w="1840" w:type="dxa"/>
            <w:tcBorders>
              <w:top w:val="nil"/>
              <w:left w:val="single" w:sz="4" w:space="0" w:color="auto"/>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720"/>
        </w:trPr>
        <w:tc>
          <w:tcPr>
            <w:tcW w:w="7493" w:type="dxa"/>
            <w:gridSpan w:val="3"/>
            <w:tcBorders>
              <w:top w:val="single" w:sz="4" w:space="0" w:color="A6A6A6"/>
              <w:left w:val="single" w:sz="4" w:space="0" w:color="auto"/>
              <w:bottom w:val="single" w:sz="4" w:space="0" w:color="A6A6A6"/>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First 20 days</w:t>
            </w:r>
          </w:p>
        </w:tc>
        <w:tc>
          <w:tcPr>
            <w:tcW w:w="1840" w:type="dxa"/>
            <w:tcBorders>
              <w:top w:val="single" w:sz="4" w:space="0" w:color="A6A6A6"/>
              <w:left w:val="single" w:sz="4" w:space="0" w:color="auto"/>
              <w:bottom w:val="single" w:sz="4" w:space="0" w:color="A6A6A6"/>
              <w:right w:val="single" w:sz="4" w:space="0" w:color="auto"/>
            </w:tcBorders>
            <w:shd w:val="clear" w:color="000000" w:fill="F2DCDB"/>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single" w:sz="4" w:space="0" w:color="A6A6A6"/>
              <w:left w:val="nil"/>
              <w:bottom w:val="single" w:sz="4" w:space="0" w:color="A6A6A6"/>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all approved amounts)</w:t>
            </w:r>
          </w:p>
        </w:tc>
      </w:tr>
      <w:tr w:rsidR="00234DDB" w:rsidRPr="00C61B2A" w:rsidTr="00A92686">
        <w:trPr>
          <w:trHeight w:val="480"/>
        </w:trPr>
        <w:tc>
          <w:tcPr>
            <w:tcW w:w="7493" w:type="dxa"/>
            <w:gridSpan w:val="3"/>
            <w:tcBorders>
              <w:top w:val="nil"/>
              <w:left w:val="single" w:sz="4" w:space="0" w:color="auto"/>
              <w:bottom w:val="single" w:sz="4" w:space="0" w:color="A6A6A6"/>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Days 21 through 100</w:t>
            </w:r>
          </w:p>
        </w:tc>
        <w:tc>
          <w:tcPr>
            <w:tcW w:w="1840" w:type="dxa"/>
            <w:tcBorders>
              <w:top w:val="nil"/>
              <w:left w:val="single" w:sz="4" w:space="0" w:color="auto"/>
              <w:bottom w:val="single" w:sz="4" w:space="0" w:color="A6A6A6"/>
              <w:right w:val="single" w:sz="4" w:space="0" w:color="auto"/>
            </w:tcBorders>
            <w:shd w:val="clear" w:color="000000" w:fill="F2DCDB"/>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6A6A6"/>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Coinsurance per day</w:t>
            </w:r>
          </w:p>
        </w:tc>
      </w:tr>
      <w:tr w:rsidR="00234DDB" w:rsidRPr="00C61B2A" w:rsidTr="00A92686">
        <w:trPr>
          <w:trHeight w:val="300"/>
        </w:trPr>
        <w:tc>
          <w:tcPr>
            <w:tcW w:w="7493" w:type="dxa"/>
            <w:gridSpan w:val="3"/>
            <w:tcBorders>
              <w:top w:val="nil"/>
              <w:left w:val="single" w:sz="4" w:space="0" w:color="auto"/>
              <w:bottom w:val="single" w:sz="4" w:space="0" w:color="auto"/>
              <w:right w:val="nil"/>
            </w:tcBorders>
            <w:shd w:val="clear" w:color="auto" w:fill="auto"/>
            <w:hideMark/>
          </w:tcPr>
          <w:p w:rsidR="00234DDB" w:rsidRPr="00C61B2A" w:rsidRDefault="00234DDB" w:rsidP="00A92686">
            <w:pPr>
              <w:spacing w:after="0" w:line="240" w:lineRule="auto"/>
              <w:ind w:left="0" w:right="0" w:firstLineChars="200" w:firstLine="360"/>
              <w:jc w:val="left"/>
              <w:rPr>
                <w:rFonts w:ascii="Arial" w:hAnsi="Arial" w:cs="Arial"/>
                <w:sz w:val="18"/>
                <w:szCs w:val="18"/>
              </w:rPr>
            </w:pPr>
            <w:r w:rsidRPr="00C61B2A">
              <w:rPr>
                <w:rFonts w:ascii="Arial" w:hAnsi="Arial" w:cs="Arial"/>
                <w:sz w:val="18"/>
                <w:szCs w:val="18"/>
              </w:rPr>
              <w:t>Days 101 and after</w:t>
            </w:r>
          </w:p>
        </w:tc>
        <w:tc>
          <w:tcPr>
            <w:tcW w:w="1840" w:type="dxa"/>
            <w:tcBorders>
              <w:top w:val="nil"/>
              <w:left w:val="single" w:sz="4" w:space="0" w:color="auto"/>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right"/>
              <w:rPr>
                <w:rFonts w:ascii="Arial" w:hAnsi="Arial" w:cs="Arial"/>
                <w:sz w:val="18"/>
                <w:szCs w:val="18"/>
              </w:rPr>
            </w:pPr>
            <w:r w:rsidRPr="00C61B2A">
              <w:rPr>
                <w:rFonts w:ascii="Arial" w:hAnsi="Arial" w:cs="Arial"/>
                <w:sz w:val="18"/>
                <w:szCs w:val="18"/>
              </w:rPr>
              <w:t>0%</w:t>
            </w:r>
          </w:p>
        </w:tc>
      </w:tr>
      <w:tr w:rsidR="00234DDB" w:rsidRPr="00C61B2A" w:rsidTr="00234DDB">
        <w:trPr>
          <w:trHeight w:val="300"/>
        </w:trPr>
        <w:tc>
          <w:tcPr>
            <w:tcW w:w="7493" w:type="dxa"/>
            <w:gridSpan w:val="3"/>
            <w:tcBorders>
              <w:top w:val="nil"/>
              <w:left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HOSPICE CARE</w:t>
            </w:r>
          </w:p>
        </w:tc>
        <w:tc>
          <w:tcPr>
            <w:tcW w:w="1840" w:type="dxa"/>
            <w:tcBorders>
              <w:top w:val="nil"/>
              <w:left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234DDB">
        <w:trPr>
          <w:trHeight w:val="1467"/>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Your doctor and hospice provider must certify you are terminally ill and you elect hospice Includes physical care, counseling, equipment, supplies, respite care, inpatient care and drugs for pain and symptom control</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all but very limited coinsurance for outpatient palliative drugs or biologics and inpatient respite care)</w:t>
            </w:r>
          </w:p>
        </w:tc>
      </w:tr>
      <w:tr w:rsidR="00234DDB" w:rsidRPr="00C61B2A" w:rsidTr="00234DDB">
        <w:trPr>
          <w:trHeight w:val="300"/>
        </w:trPr>
        <w:tc>
          <w:tcPr>
            <w:tcW w:w="7493" w:type="dxa"/>
            <w:gridSpan w:val="3"/>
            <w:tcBorders>
              <w:top w:val="single" w:sz="4" w:space="0" w:color="auto"/>
              <w:left w:val="single" w:sz="4" w:space="0" w:color="auto"/>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lastRenderedPageBreak/>
              <w:t>BLOOD</w:t>
            </w:r>
          </w:p>
        </w:tc>
        <w:tc>
          <w:tcPr>
            <w:tcW w:w="1840" w:type="dxa"/>
            <w:tcBorders>
              <w:top w:val="single" w:sz="4" w:space="0" w:color="auto"/>
              <w:left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c>
          <w:tcPr>
            <w:tcW w:w="1840" w:type="dxa"/>
            <w:gridSpan w:val="2"/>
            <w:tcBorders>
              <w:top w:val="single" w:sz="4" w:space="0" w:color="auto"/>
              <w:left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r>
      <w:tr w:rsidR="00234DDB" w:rsidRPr="00C61B2A" w:rsidTr="00A92686">
        <w:trPr>
          <w:trHeight w:val="378"/>
        </w:trPr>
        <w:tc>
          <w:tcPr>
            <w:tcW w:w="7493" w:type="dxa"/>
            <w:gridSpan w:val="3"/>
            <w:tcBorders>
              <w:top w:val="nil"/>
              <w:left w:val="single" w:sz="4" w:space="0" w:color="auto"/>
              <w:bottom w:val="single" w:sz="4" w:space="0" w:color="auto"/>
              <w:right w:val="nil"/>
            </w:tcBorders>
            <w:shd w:val="clear" w:color="auto" w:fill="auto"/>
            <w:vAlign w:val="bottom"/>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Limited to the first 3 pints unless you or someone else donates blood to replace what you use</w:t>
            </w:r>
          </w:p>
        </w:tc>
        <w:tc>
          <w:tcPr>
            <w:tcW w:w="1840" w:type="dxa"/>
            <w:tcBorders>
              <w:top w:val="nil"/>
              <w:left w:val="single" w:sz="4" w:space="0" w:color="auto"/>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c>
          <w:tcPr>
            <w:tcW w:w="1840" w:type="dxa"/>
            <w:gridSpan w:val="2"/>
            <w:tcBorders>
              <w:top w:val="nil"/>
              <w:left w:val="nil"/>
              <w:bottom w:val="single" w:sz="4" w:space="0" w:color="auto"/>
              <w:right w:val="single" w:sz="4" w:space="0" w:color="auto"/>
            </w:tcBorders>
            <w:shd w:val="clear" w:color="auto" w:fill="auto"/>
            <w:noWrap/>
            <w:hideMark/>
          </w:tcPr>
          <w:p w:rsidR="00234DDB" w:rsidRPr="00C61B2A" w:rsidRDefault="00234DDB" w:rsidP="00A92686">
            <w:pPr>
              <w:spacing w:after="0" w:line="240" w:lineRule="auto"/>
              <w:ind w:left="0" w:right="0" w:firstLine="0"/>
              <w:jc w:val="right"/>
              <w:rPr>
                <w:rFonts w:ascii="Arial" w:hAnsi="Arial" w:cs="Arial"/>
                <w:sz w:val="18"/>
                <w:szCs w:val="18"/>
              </w:rPr>
            </w:pPr>
            <w:r w:rsidRPr="00C61B2A">
              <w:rPr>
                <w:rFonts w:ascii="Arial" w:hAnsi="Arial" w:cs="Arial"/>
                <w:sz w:val="18"/>
                <w:szCs w:val="18"/>
              </w:rPr>
              <w:t>100%</w:t>
            </w:r>
          </w:p>
        </w:tc>
      </w:tr>
      <w:tr w:rsidR="00234DDB" w:rsidRPr="00C61B2A" w:rsidTr="00A92686">
        <w:trPr>
          <w:trHeight w:val="521"/>
        </w:trPr>
        <w:tc>
          <w:tcPr>
            <w:tcW w:w="11173" w:type="dxa"/>
            <w:gridSpan w:val="6"/>
            <w:tcBorders>
              <w:top w:val="single" w:sz="4" w:space="0" w:color="auto"/>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Providers who do not accept Medicare assignment cannot charge a Medicare beneficiary more than 115% of the Medicare-approved amount.</w:t>
            </w: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p>
        </w:tc>
      </w:tr>
      <w:tr w:rsidR="00234DDB" w:rsidRPr="00C61B2A" w:rsidTr="00A92686">
        <w:trPr>
          <w:trHeight w:val="795"/>
        </w:trPr>
        <w:tc>
          <w:tcPr>
            <w:tcW w:w="11173" w:type="dxa"/>
            <w:gridSpan w:val="6"/>
            <w:tcBorders>
              <w:top w:val="nil"/>
              <w:left w:val="nil"/>
              <w:bottom w:val="nil"/>
              <w:right w:val="nil"/>
            </w:tcBorders>
            <w:shd w:val="clear" w:color="auto" w:fill="auto"/>
            <w:hideMark/>
          </w:tcPr>
          <w:p w:rsidR="00234DDB" w:rsidRPr="00C61B2A" w:rsidRDefault="00234DDB" w:rsidP="00A92686">
            <w:pPr>
              <w:spacing w:after="0" w:line="240" w:lineRule="auto"/>
              <w:ind w:left="0" w:right="0" w:firstLine="0"/>
              <w:jc w:val="left"/>
              <w:rPr>
                <w:rFonts w:ascii="Arial" w:hAnsi="Arial" w:cs="Arial"/>
                <w:b/>
                <w:bCs/>
                <w:sz w:val="28"/>
                <w:szCs w:val="28"/>
              </w:rPr>
            </w:pPr>
            <w:r w:rsidRPr="00C61B2A">
              <w:rPr>
                <w:rFonts w:ascii="Arial" w:hAnsi="Arial" w:cs="Arial"/>
                <w:b/>
                <w:bCs/>
                <w:sz w:val="28"/>
                <w:szCs w:val="28"/>
              </w:rPr>
              <w:t>Medicare Part B (Medical) Services</w:t>
            </w:r>
            <w:r w:rsidRPr="00C61B2A">
              <w:rPr>
                <w:rFonts w:ascii="Arial" w:hAnsi="Arial" w:cs="Arial"/>
                <w:b/>
                <w:bCs/>
                <w:sz w:val="28"/>
                <w:szCs w:val="28"/>
              </w:rPr>
              <w:br w:type="page"/>
              <w:t>All Benefits are Based on Medicare-Approved Amounts</w:t>
            </w:r>
          </w:p>
        </w:tc>
      </w:tr>
      <w:tr w:rsidR="00234DDB" w:rsidRPr="00C61B2A" w:rsidTr="00A92686">
        <w:trPr>
          <w:trHeight w:val="63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C61B2A">
              <w:rPr>
                <w:rFonts w:ascii="Arial" w:hAnsi="Arial" w:cs="Arial"/>
                <w:b/>
                <w:bCs/>
                <w:szCs w:val="24"/>
              </w:rPr>
              <w:t>Part B Network Services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893974">
              <w:rPr>
                <w:rFonts w:ascii="Arial" w:hAnsi="Arial" w:cs="Arial"/>
                <w:b/>
                <w:bCs/>
                <w:szCs w:val="24"/>
                <w:highlight w:val="yellow"/>
              </w:rPr>
              <w:t>Supplier’s Plan Pays</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proofErr w:type="spellStart"/>
            <w:r w:rsidRPr="00C61B2A">
              <w:rPr>
                <w:rFonts w:ascii="Arial" w:hAnsi="Arial" w:cs="Arial"/>
                <w:b/>
                <w:bCs/>
                <w:szCs w:val="24"/>
              </w:rPr>
              <w:t>HealthChoice</w:t>
            </w:r>
            <w:proofErr w:type="spellEnd"/>
            <w:r w:rsidRPr="00C61B2A">
              <w:rPr>
                <w:rFonts w:ascii="Arial" w:hAnsi="Arial" w:cs="Arial"/>
                <w:b/>
                <w:bCs/>
                <w:szCs w:val="24"/>
              </w:rPr>
              <w:t xml:space="preserve"> Pays</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MEDICAL EXPENSES</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885"/>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 xml:space="preserve">Medically necessary outpatient services and supplies </w:t>
            </w:r>
            <w:r w:rsidRPr="00C61B2A">
              <w:rPr>
                <w:rFonts w:ascii="Arial" w:hAnsi="Arial" w:cs="Arial"/>
                <w:sz w:val="18"/>
                <w:szCs w:val="18"/>
              </w:rPr>
              <w:br/>
              <w:t>Includes doctor’s visits, out-patient hospital treatment, surgical services, physical and speech therapy and diagnostic tests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30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CLINICAL DIAGNOSTIC LABORATORY SERVICES</w:t>
            </w:r>
          </w:p>
        </w:tc>
        <w:tc>
          <w:tcPr>
            <w:tcW w:w="1840" w:type="dxa"/>
            <w:tcBorders>
              <w:top w:val="single" w:sz="4" w:space="0" w:color="auto"/>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blood tests, urinalysis and tissue pathology</w:t>
            </w:r>
          </w:p>
        </w:tc>
        <w:tc>
          <w:tcPr>
            <w:tcW w:w="1840" w:type="dxa"/>
            <w:tcBorders>
              <w:top w:val="single" w:sz="4" w:space="0" w:color="auto"/>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w:t>
            </w:r>
            <w:r w:rsidRPr="00C61B2A">
              <w:rPr>
                <w:rFonts w:ascii="Arial" w:hAnsi="Arial" w:cs="Arial"/>
                <w:sz w:val="18"/>
                <w:szCs w:val="18"/>
              </w:rPr>
              <w:br/>
              <w:t>100%)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HOME HEALTH CARE</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intermittent skilled care and medical supplies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DURABLE MEDICAL EQUIPMENT</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items such as nebulizers, wheelchairs and walkers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DIABETES MONITORING SUPPLIES</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coverage for glucose monitors, test strips and lancets for those with diabetes Must be requested by your doctor</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OSTOMY SUPPLIES</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ostomy bags, wafers and other ostomy supplies for those who have a need based on their condition</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BLOOD</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amounts in addition to the coverage under Part A unless you or someone else donates blood to replace what you use</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 xml:space="preserve"> OUTPATIENT PRESCRIPTIONS</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infused, oral end-stage renal disease drugs and some cancer and transplant drugs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Arial" w:hAnsi="Arial" w:cs="Arial"/>
                <w:sz w:val="22"/>
              </w:rPr>
            </w:pPr>
            <w:r w:rsidRPr="00C61B2A">
              <w:rPr>
                <w:rFonts w:ascii="Arial" w:hAnsi="Arial" w:cs="Arial"/>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615"/>
        </w:trPr>
        <w:tc>
          <w:tcPr>
            <w:tcW w:w="11173" w:type="dxa"/>
            <w:gridSpan w:val="6"/>
            <w:tcBorders>
              <w:top w:val="nil"/>
              <w:left w:val="nil"/>
              <w:bottom w:val="nil"/>
              <w:right w:val="nil"/>
            </w:tcBorders>
            <w:shd w:val="clear" w:color="auto" w:fill="auto"/>
            <w:vAlign w:val="bottom"/>
            <w:hideMark/>
          </w:tcPr>
          <w:p w:rsidR="00234DDB" w:rsidRPr="00E93AFD" w:rsidRDefault="00234DDB" w:rsidP="00A92686">
            <w:pPr>
              <w:spacing w:after="0" w:line="240" w:lineRule="auto"/>
              <w:ind w:left="0" w:right="0" w:firstLine="0"/>
              <w:jc w:val="left"/>
              <w:rPr>
                <w:rFonts w:ascii="Arial" w:hAnsi="Arial" w:cs="Arial"/>
                <w:sz w:val="16"/>
                <w:szCs w:val="16"/>
              </w:rPr>
            </w:pPr>
          </w:p>
          <w:p w:rsidR="00234DDB"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Providers who do not accept Medicare assignment cannot charge a Medicare beneficiary more than 115% of the Medicare-approved amount.</w:t>
            </w:r>
          </w:p>
          <w:p w:rsidR="00234DDB" w:rsidRDefault="00234DDB" w:rsidP="00A92686">
            <w:pPr>
              <w:spacing w:after="0" w:line="240" w:lineRule="auto"/>
              <w:ind w:left="0" w:right="0" w:firstLine="0"/>
              <w:jc w:val="left"/>
              <w:rPr>
                <w:rFonts w:ascii="Arial" w:hAnsi="Arial" w:cs="Arial"/>
                <w:sz w:val="18"/>
                <w:szCs w:val="18"/>
              </w:rPr>
            </w:pPr>
          </w:p>
          <w:p w:rsidR="00234DDB" w:rsidRPr="00C61B2A" w:rsidRDefault="00234DDB" w:rsidP="00A92686">
            <w:pPr>
              <w:spacing w:after="0" w:line="240" w:lineRule="auto"/>
              <w:ind w:left="0" w:right="0" w:firstLine="0"/>
              <w:jc w:val="left"/>
              <w:rPr>
                <w:rFonts w:ascii="Arial" w:hAnsi="Arial" w:cs="Arial"/>
                <w:sz w:val="18"/>
                <w:szCs w:val="18"/>
              </w:rPr>
            </w:pPr>
          </w:p>
        </w:tc>
      </w:tr>
      <w:tr w:rsidR="00234DDB" w:rsidRPr="00C61B2A" w:rsidTr="00A92686">
        <w:trPr>
          <w:trHeight w:val="720"/>
        </w:trPr>
        <w:tc>
          <w:tcPr>
            <w:tcW w:w="11173" w:type="dxa"/>
            <w:gridSpan w:val="6"/>
            <w:tcBorders>
              <w:top w:val="nil"/>
              <w:left w:val="nil"/>
              <w:bottom w:val="nil"/>
              <w:right w:val="nil"/>
            </w:tcBorders>
            <w:shd w:val="clear" w:color="auto" w:fill="auto"/>
            <w:hideMark/>
          </w:tcPr>
          <w:p w:rsidR="00234DDB" w:rsidRPr="00C61B2A" w:rsidRDefault="00234DDB" w:rsidP="00A92686">
            <w:pPr>
              <w:spacing w:after="0" w:line="240" w:lineRule="auto"/>
              <w:ind w:left="0" w:right="0" w:firstLine="0"/>
              <w:jc w:val="left"/>
              <w:rPr>
                <w:rFonts w:ascii="Arial" w:hAnsi="Arial" w:cs="Arial"/>
                <w:b/>
                <w:bCs/>
                <w:sz w:val="28"/>
                <w:szCs w:val="28"/>
              </w:rPr>
            </w:pPr>
            <w:r w:rsidRPr="00C61B2A">
              <w:rPr>
                <w:rFonts w:ascii="Arial" w:hAnsi="Arial" w:cs="Arial"/>
                <w:b/>
                <w:bCs/>
                <w:sz w:val="28"/>
                <w:szCs w:val="28"/>
              </w:rPr>
              <w:t>Medicare Part B (Preventative) Services</w:t>
            </w:r>
            <w:r w:rsidRPr="00C61B2A">
              <w:rPr>
                <w:rFonts w:ascii="Arial" w:hAnsi="Arial" w:cs="Arial"/>
                <w:b/>
                <w:bCs/>
                <w:sz w:val="28"/>
                <w:szCs w:val="28"/>
              </w:rPr>
              <w:br w:type="page"/>
              <w:t>All Benefits are Based on Medicare-Approved Amounts</w:t>
            </w:r>
          </w:p>
        </w:tc>
      </w:tr>
      <w:tr w:rsidR="00234DDB" w:rsidRPr="00C61B2A" w:rsidTr="00A92686">
        <w:trPr>
          <w:trHeight w:val="135"/>
        </w:trPr>
        <w:tc>
          <w:tcPr>
            <w:tcW w:w="7493" w:type="dxa"/>
            <w:gridSpan w:val="3"/>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22"/>
              </w:rPr>
            </w:pPr>
          </w:p>
        </w:tc>
      </w:tr>
      <w:tr w:rsidR="00234DDB" w:rsidRPr="00C61B2A" w:rsidTr="00234DDB">
        <w:trPr>
          <w:trHeight w:val="63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C61B2A">
              <w:rPr>
                <w:rFonts w:ascii="Arial" w:hAnsi="Arial" w:cs="Arial"/>
                <w:b/>
                <w:bCs/>
                <w:szCs w:val="24"/>
              </w:rPr>
              <w:t>Part B Network Services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893974">
              <w:rPr>
                <w:rFonts w:ascii="Arial" w:hAnsi="Arial" w:cs="Arial"/>
                <w:b/>
                <w:bCs/>
                <w:szCs w:val="24"/>
                <w:highlight w:val="yellow"/>
              </w:rPr>
              <w:t>Supplier’s Plan Pays</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proofErr w:type="spellStart"/>
            <w:r w:rsidRPr="00C61B2A">
              <w:rPr>
                <w:rFonts w:ascii="Arial" w:hAnsi="Arial" w:cs="Arial"/>
                <w:b/>
                <w:bCs/>
                <w:szCs w:val="24"/>
              </w:rPr>
              <w:t>HealthChoice</w:t>
            </w:r>
            <w:proofErr w:type="spellEnd"/>
            <w:r w:rsidRPr="00C61B2A">
              <w:rPr>
                <w:rFonts w:ascii="Arial" w:hAnsi="Arial" w:cs="Arial"/>
                <w:b/>
                <w:bCs/>
                <w:szCs w:val="24"/>
              </w:rPr>
              <w:t xml:space="preserve"> Pays</w:t>
            </w:r>
          </w:p>
        </w:tc>
      </w:tr>
      <w:tr w:rsidR="00234DDB" w:rsidRPr="00C61B2A" w:rsidTr="00234DDB">
        <w:trPr>
          <w:trHeight w:val="30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INITIAL PREVENTIVE PHYSICAL EXAM</w:t>
            </w:r>
          </w:p>
        </w:tc>
        <w:tc>
          <w:tcPr>
            <w:tcW w:w="1840" w:type="dxa"/>
            <w:tcBorders>
              <w:top w:val="single" w:sz="4" w:space="0" w:color="auto"/>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234DDB">
        <w:trPr>
          <w:trHeight w:val="48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lastRenderedPageBreak/>
              <w:t>Includes a onetime “Welcome to Medicare Visit” for Medicare beneficiaries during the first 12 months of Part B coverage</w:t>
            </w:r>
          </w:p>
        </w:tc>
        <w:tc>
          <w:tcPr>
            <w:tcW w:w="1840" w:type="dxa"/>
            <w:tcBorders>
              <w:top w:val="single" w:sz="4" w:space="0" w:color="auto"/>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ANNUAL WELLNESS VISIT</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Includes one visit every 12 months for Medicare beneficiaries who have been enrolled in Part B for more than 12 months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SCREENING MAMMOGRAM</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801"/>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12 months for female Medicare beneficiaries ages 40 and older</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single" w:sz="4" w:space="0" w:color="auto"/>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CARDIOVASUCLAR DISEASE SCREENING</w:t>
            </w:r>
          </w:p>
        </w:tc>
        <w:tc>
          <w:tcPr>
            <w:tcW w:w="1840" w:type="dxa"/>
            <w:tcBorders>
              <w:top w:val="single" w:sz="4" w:space="0" w:color="auto"/>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five years for all Medicare beneficiaries</w:t>
            </w:r>
          </w:p>
        </w:tc>
        <w:tc>
          <w:tcPr>
            <w:tcW w:w="1840" w:type="dxa"/>
            <w:tcBorders>
              <w:top w:val="nil"/>
              <w:left w:val="nil"/>
              <w:bottom w:val="single" w:sz="4" w:space="0" w:color="auto"/>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PAP TEST AND PELVIC EXAM</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24 months; includes a clinical breast exam</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12 months if high risk or abnormal Pap test in preceding 36 months</w:t>
            </w:r>
          </w:p>
        </w:tc>
        <w:tc>
          <w:tcPr>
            <w:tcW w:w="1840" w:type="dxa"/>
            <w:tcBorders>
              <w:top w:val="nil"/>
              <w:left w:val="nil"/>
              <w:bottom w:val="single" w:sz="4" w:space="0" w:color="auto"/>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BONE MASS MEASUREMENTS</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24 months for all Medicare beneficiaries at risk of losing bone mass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single" w:sz="4" w:space="0" w:color="auto"/>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GLAUCOMA SCREENING</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12 months for Medicare beneficiaries at high risk or a family history of glaucoma</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Must be performed or supervised by an optometrist or ophthalmologist</w:t>
            </w:r>
          </w:p>
        </w:tc>
        <w:tc>
          <w:tcPr>
            <w:tcW w:w="1840" w:type="dxa"/>
            <w:tcBorders>
              <w:top w:val="nil"/>
              <w:left w:val="nil"/>
              <w:bottom w:val="single" w:sz="4" w:space="0" w:color="auto"/>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COLORECTAL CANCER SCREENING</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For all Medicare beneficiaries ages 50 and older</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FECAL OCCULT BLOOD TEST</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12 months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FLEXIBLE SIGNOIDOSCOPY</w:t>
            </w:r>
          </w:p>
        </w:tc>
        <w:tc>
          <w:tcPr>
            <w:tcW w:w="1840" w:type="dxa"/>
            <w:tcBorders>
              <w:top w:val="nil"/>
              <w:left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720"/>
        </w:trPr>
        <w:tc>
          <w:tcPr>
            <w:tcW w:w="7493" w:type="dxa"/>
            <w:gridSpan w:val="3"/>
            <w:tcBorders>
              <w:top w:val="nil"/>
              <w:left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4 years for those at high risk for colorectal cancer</w:t>
            </w:r>
            <w:r w:rsidRPr="00C61B2A">
              <w:rPr>
                <w:rFonts w:ascii="Arial" w:hAnsi="Arial" w:cs="Arial"/>
                <w:sz w:val="18"/>
                <w:szCs w:val="18"/>
              </w:rPr>
              <w:br/>
              <w:t>For those at normal risk, once every 4 years, or 119 months after a previous screening colonoscopy</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COLONOSCOPY</w:t>
            </w:r>
          </w:p>
        </w:tc>
        <w:tc>
          <w:tcPr>
            <w:tcW w:w="1840" w:type="dxa"/>
            <w:tcBorders>
              <w:top w:val="single" w:sz="4" w:space="0" w:color="auto"/>
              <w:left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720"/>
        </w:trPr>
        <w:tc>
          <w:tcPr>
            <w:tcW w:w="7493" w:type="dxa"/>
            <w:gridSpan w:val="3"/>
            <w:tcBorders>
              <w:left w:val="single" w:sz="4" w:space="0" w:color="auto"/>
              <w:bottom w:val="single" w:sz="4" w:space="0" w:color="auto"/>
              <w:right w:val="single" w:sz="4" w:space="0" w:color="auto"/>
            </w:tcBorders>
            <w:shd w:val="clear" w:color="auto" w:fill="auto"/>
            <w:hideMark/>
          </w:tcPr>
          <w:p w:rsidR="00234DDB"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2 years for those at high risk for colorectal cancer</w:t>
            </w:r>
            <w:r w:rsidRPr="00C61B2A">
              <w:rPr>
                <w:rFonts w:ascii="Arial" w:hAnsi="Arial" w:cs="Arial"/>
                <w:sz w:val="18"/>
                <w:szCs w:val="18"/>
              </w:rPr>
              <w:br/>
              <w:t>For those at normal risk, once every 10 years, or 47 months after a previous flexible sigmoidoscopy</w:t>
            </w:r>
          </w:p>
          <w:p w:rsidR="00234DDB" w:rsidRDefault="00234DDB" w:rsidP="00A92686">
            <w:pPr>
              <w:spacing w:after="0" w:line="240" w:lineRule="auto"/>
              <w:ind w:left="0" w:right="0" w:firstLineChars="100" w:firstLine="180"/>
              <w:jc w:val="left"/>
              <w:rPr>
                <w:rFonts w:ascii="Arial" w:hAnsi="Arial" w:cs="Arial"/>
                <w:sz w:val="18"/>
                <w:szCs w:val="18"/>
              </w:rPr>
            </w:pPr>
          </w:p>
          <w:p w:rsidR="00234DDB" w:rsidRPr="00C61B2A" w:rsidRDefault="00234DDB" w:rsidP="00A92686">
            <w:pPr>
              <w:spacing w:after="0" w:line="240" w:lineRule="auto"/>
              <w:ind w:left="0" w:right="0" w:firstLineChars="100" w:firstLine="180"/>
              <w:jc w:val="left"/>
              <w:rPr>
                <w:rFonts w:ascii="Arial" w:hAnsi="Arial" w:cs="Arial"/>
                <w:sz w:val="18"/>
                <w:szCs w:val="18"/>
              </w:rPr>
            </w:pPr>
          </w:p>
        </w:tc>
        <w:tc>
          <w:tcPr>
            <w:tcW w:w="1840" w:type="dxa"/>
            <w:tcBorders>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left w:val="nil"/>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single" w:sz="4" w:space="0" w:color="auto"/>
              <w:left w:val="single" w:sz="4" w:space="0" w:color="auto"/>
              <w:bottom w:val="nil"/>
              <w:right w:val="single" w:sz="4" w:space="0" w:color="auto"/>
            </w:tcBorders>
            <w:shd w:val="clear" w:color="auto" w:fill="auto"/>
            <w:vAlign w:val="bottom"/>
            <w:hideMark/>
          </w:tcPr>
          <w:p w:rsidR="00234DDB" w:rsidRDefault="00234DDB" w:rsidP="00A92686">
            <w:pPr>
              <w:spacing w:after="0" w:line="240" w:lineRule="auto"/>
              <w:ind w:left="0" w:right="0" w:firstLine="0"/>
              <w:jc w:val="left"/>
              <w:rPr>
                <w:rFonts w:ascii="Arial" w:hAnsi="Arial" w:cs="Arial"/>
                <w:b/>
                <w:bCs/>
                <w:sz w:val="18"/>
                <w:szCs w:val="18"/>
              </w:rPr>
            </w:pPr>
          </w:p>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BARIUM ENEMA</w:t>
            </w:r>
          </w:p>
        </w:tc>
        <w:tc>
          <w:tcPr>
            <w:tcW w:w="1840" w:type="dxa"/>
            <w:tcBorders>
              <w:top w:val="single" w:sz="4" w:space="0" w:color="auto"/>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r>
      <w:tr w:rsidR="00234DDB" w:rsidRPr="00C61B2A" w:rsidTr="00A92686">
        <w:trPr>
          <w:trHeight w:val="795"/>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Doctor can substitute this test for a sigmoidoscopy or colonoscopy</w:t>
            </w:r>
            <w:r w:rsidRPr="00C61B2A">
              <w:rPr>
                <w:rFonts w:ascii="Arial" w:hAnsi="Arial" w:cs="Arial"/>
                <w:sz w:val="18"/>
                <w:szCs w:val="18"/>
              </w:rPr>
              <w:br/>
              <w:t>Procedure must be performed in an outpatient hospital setting or an ambulatory surgical center</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noWrap/>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20% coinsurance</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PROSTATE CANCER SCREENING</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For all male Medicare beneficiaries ages 50 and older</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r>
      <w:tr w:rsidR="00234DDB" w:rsidRPr="00C61B2A" w:rsidTr="00234DDB">
        <w:trPr>
          <w:trHeight w:val="300"/>
        </w:trPr>
        <w:tc>
          <w:tcPr>
            <w:tcW w:w="7493" w:type="dxa"/>
            <w:gridSpan w:val="3"/>
            <w:tcBorders>
              <w:top w:val="nil"/>
              <w:left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DIGITAL RECTAL EXAM</w:t>
            </w:r>
          </w:p>
        </w:tc>
        <w:tc>
          <w:tcPr>
            <w:tcW w:w="1840" w:type="dxa"/>
            <w:tcBorders>
              <w:top w:val="nil"/>
              <w:left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234DDB">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12 months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20% after the Part B deductible</w:t>
            </w:r>
          </w:p>
        </w:tc>
      </w:tr>
      <w:tr w:rsidR="00234DDB" w:rsidRPr="00C61B2A" w:rsidTr="00234DDB">
        <w:trPr>
          <w:trHeight w:val="300"/>
        </w:trPr>
        <w:tc>
          <w:tcPr>
            <w:tcW w:w="7493" w:type="dxa"/>
            <w:gridSpan w:val="3"/>
            <w:tcBorders>
              <w:top w:val="single" w:sz="4" w:space="0" w:color="auto"/>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lastRenderedPageBreak/>
              <w:t>PROSTATE SPECIFIC ANTIGEN TEST (PSA)</w:t>
            </w:r>
          </w:p>
        </w:tc>
        <w:tc>
          <w:tcPr>
            <w:tcW w:w="1840" w:type="dxa"/>
            <w:tcBorders>
              <w:top w:val="single" w:sz="4" w:space="0" w:color="auto"/>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Once every 12 months</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0% (Medicare pays 100%)</w:t>
            </w:r>
          </w:p>
        </w:tc>
      </w:tr>
      <w:tr w:rsidR="00234DDB" w:rsidRPr="00C61B2A" w:rsidTr="00A92686">
        <w:trPr>
          <w:trHeight w:val="575"/>
        </w:trPr>
        <w:tc>
          <w:tcPr>
            <w:tcW w:w="11173" w:type="dxa"/>
            <w:gridSpan w:val="6"/>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Providers who do not accept Medicare assignment cannot charge a Medicare beneficiary more than 115% of the Medicare-approved amount.</w:t>
            </w: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r>
      <w:tr w:rsidR="00234DDB" w:rsidRPr="00C61B2A" w:rsidTr="00A92686">
        <w:trPr>
          <w:trHeight w:val="360"/>
        </w:trPr>
        <w:tc>
          <w:tcPr>
            <w:tcW w:w="11173" w:type="dxa"/>
            <w:gridSpan w:val="6"/>
            <w:tcBorders>
              <w:top w:val="nil"/>
              <w:left w:val="nil"/>
              <w:bottom w:val="nil"/>
              <w:right w:val="nil"/>
            </w:tcBorders>
            <w:shd w:val="clear" w:color="auto" w:fill="auto"/>
            <w:hideMark/>
          </w:tcPr>
          <w:p w:rsidR="00234DDB" w:rsidRPr="00C61B2A" w:rsidRDefault="00234DDB" w:rsidP="00A92686">
            <w:pPr>
              <w:spacing w:after="0" w:line="240" w:lineRule="auto"/>
              <w:ind w:left="0" w:right="0" w:firstLine="0"/>
              <w:jc w:val="left"/>
              <w:rPr>
                <w:rFonts w:ascii="Arial" w:hAnsi="Arial" w:cs="Arial"/>
                <w:b/>
                <w:bCs/>
                <w:sz w:val="28"/>
                <w:szCs w:val="28"/>
              </w:rPr>
            </w:pPr>
            <w:r w:rsidRPr="00C61B2A">
              <w:rPr>
                <w:rFonts w:ascii="Arial" w:hAnsi="Arial" w:cs="Arial"/>
                <w:b/>
                <w:bCs/>
                <w:sz w:val="28"/>
                <w:szCs w:val="28"/>
              </w:rPr>
              <w:t>Preventive Services - Vaccinations</w:t>
            </w:r>
          </w:p>
        </w:tc>
      </w:tr>
      <w:tr w:rsidR="00234DDB" w:rsidRPr="00C61B2A" w:rsidTr="00A92686">
        <w:trPr>
          <w:trHeight w:val="300"/>
        </w:trPr>
        <w:tc>
          <w:tcPr>
            <w:tcW w:w="11173" w:type="dxa"/>
            <w:gridSpan w:val="6"/>
            <w:tcBorders>
              <w:top w:val="nil"/>
              <w:left w:val="nil"/>
              <w:bottom w:val="nil"/>
              <w:right w:val="nil"/>
            </w:tcBorders>
            <w:shd w:val="clear" w:color="auto" w:fill="auto"/>
            <w:hideMark/>
          </w:tcPr>
          <w:p w:rsidR="00234DDB" w:rsidRDefault="00234DDB" w:rsidP="00A92686">
            <w:pPr>
              <w:spacing w:after="0" w:line="240" w:lineRule="auto"/>
              <w:ind w:left="0" w:right="0" w:firstLine="0"/>
              <w:jc w:val="left"/>
              <w:rPr>
                <w:rFonts w:ascii="Arial" w:hAnsi="Arial" w:cs="Arial"/>
                <w:color w:val="231F20"/>
                <w:sz w:val="18"/>
                <w:szCs w:val="18"/>
              </w:rPr>
            </w:pPr>
            <w:r w:rsidRPr="00C61B2A">
              <w:rPr>
                <w:rFonts w:ascii="Arial" w:hAnsi="Arial" w:cs="Arial"/>
                <w:color w:val="231F20"/>
                <w:sz w:val="18"/>
                <w:szCs w:val="18"/>
              </w:rPr>
              <w:t>Medicare covers the vaccine and administration at 100% if the provider accepts Medicare assignment.</w:t>
            </w:r>
          </w:p>
          <w:p w:rsidR="00234DDB" w:rsidRPr="00C61B2A" w:rsidRDefault="00234DDB" w:rsidP="00A92686">
            <w:pPr>
              <w:spacing w:after="0" w:line="240" w:lineRule="auto"/>
              <w:ind w:left="0" w:right="0" w:firstLine="0"/>
              <w:jc w:val="left"/>
              <w:rPr>
                <w:rFonts w:ascii="Arial" w:hAnsi="Arial" w:cs="Arial"/>
                <w:color w:val="231F20"/>
                <w:sz w:val="18"/>
                <w:szCs w:val="18"/>
              </w:rPr>
            </w:pPr>
          </w:p>
        </w:tc>
      </w:tr>
      <w:tr w:rsidR="00234DDB" w:rsidRPr="00C61B2A" w:rsidTr="00A92686">
        <w:trPr>
          <w:trHeight w:val="63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C61B2A">
              <w:rPr>
                <w:rFonts w:ascii="Arial" w:hAnsi="Arial" w:cs="Arial"/>
                <w:b/>
                <w:bCs/>
                <w:szCs w:val="24"/>
              </w:rPr>
              <w:t>Vaccination</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893974">
              <w:rPr>
                <w:rFonts w:ascii="Arial" w:hAnsi="Arial" w:cs="Arial"/>
                <w:b/>
                <w:bCs/>
                <w:szCs w:val="24"/>
                <w:highlight w:val="yellow"/>
              </w:rPr>
              <w:t>Supplier’s Plan Pays</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proofErr w:type="spellStart"/>
            <w:r w:rsidRPr="00C61B2A">
              <w:rPr>
                <w:rFonts w:ascii="Arial" w:hAnsi="Arial" w:cs="Arial"/>
                <w:b/>
                <w:bCs/>
                <w:szCs w:val="24"/>
              </w:rPr>
              <w:t>HealthChoice</w:t>
            </w:r>
            <w:proofErr w:type="spellEnd"/>
            <w:r w:rsidRPr="00C61B2A">
              <w:rPr>
                <w:rFonts w:ascii="Arial" w:hAnsi="Arial" w:cs="Arial"/>
                <w:b/>
                <w:bCs/>
                <w:szCs w:val="24"/>
              </w:rPr>
              <w:t xml:space="preserve"> Pays</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 xml:space="preserve">Flu Vaccination </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One per flu season</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right"/>
              <w:rPr>
                <w:rFonts w:ascii="Arial" w:hAnsi="Arial" w:cs="Arial"/>
                <w:sz w:val="18"/>
                <w:szCs w:val="18"/>
              </w:rPr>
            </w:pPr>
            <w:r w:rsidRPr="00C61B2A">
              <w:rPr>
                <w:rFonts w:ascii="Arial" w:hAnsi="Arial" w:cs="Arial"/>
                <w:sz w:val="18"/>
                <w:szCs w:val="18"/>
              </w:rPr>
              <w:t>0%</w:t>
            </w:r>
          </w:p>
        </w:tc>
      </w:tr>
      <w:tr w:rsidR="00234DDB" w:rsidRPr="00C61B2A" w:rsidTr="00A92686">
        <w:trPr>
          <w:trHeight w:val="300"/>
        </w:trPr>
        <w:tc>
          <w:tcPr>
            <w:tcW w:w="7493" w:type="dxa"/>
            <w:gridSpan w:val="3"/>
            <w:tcBorders>
              <w:top w:val="single" w:sz="4" w:space="0" w:color="auto"/>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Pneumonia Vaccination</w:t>
            </w:r>
          </w:p>
        </w:tc>
        <w:tc>
          <w:tcPr>
            <w:tcW w:w="1840" w:type="dxa"/>
            <w:tcBorders>
              <w:top w:val="single" w:sz="4" w:space="0" w:color="auto"/>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r>
      <w:tr w:rsidR="00234DDB" w:rsidRPr="00C61B2A" w:rsidTr="00A92686">
        <w:trPr>
          <w:trHeight w:val="30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One time vaccination</w:t>
            </w:r>
          </w:p>
        </w:tc>
        <w:tc>
          <w:tcPr>
            <w:tcW w:w="1840" w:type="dxa"/>
            <w:tcBorders>
              <w:top w:val="nil"/>
              <w:left w:val="nil"/>
              <w:bottom w:val="single" w:sz="4" w:space="0" w:color="auto"/>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right"/>
              <w:rPr>
                <w:rFonts w:ascii="Arial" w:hAnsi="Arial" w:cs="Arial"/>
                <w:sz w:val="18"/>
                <w:szCs w:val="18"/>
              </w:rPr>
            </w:pPr>
            <w:r w:rsidRPr="00C61B2A">
              <w:rPr>
                <w:rFonts w:ascii="Arial" w:hAnsi="Arial" w:cs="Arial"/>
                <w:sz w:val="18"/>
                <w:szCs w:val="18"/>
              </w:rPr>
              <w:t>0%</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Hepatitis B Vaccination</w:t>
            </w:r>
          </w:p>
        </w:tc>
        <w:tc>
          <w:tcPr>
            <w:tcW w:w="1840" w:type="dxa"/>
            <w:tcBorders>
              <w:top w:val="nil"/>
              <w:left w:val="nil"/>
              <w:bottom w:val="nil"/>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 </w:t>
            </w:r>
          </w:p>
        </w:tc>
      </w:tr>
      <w:tr w:rsidR="00234DDB" w:rsidRPr="00C61B2A" w:rsidTr="00A92686">
        <w:trPr>
          <w:trHeight w:val="480"/>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Medicare beneficiaries at medium to high risk for Hepatitis B</w:t>
            </w:r>
          </w:p>
        </w:tc>
        <w:tc>
          <w:tcPr>
            <w:tcW w:w="1840" w:type="dxa"/>
            <w:tcBorders>
              <w:top w:val="nil"/>
              <w:left w:val="nil"/>
              <w:bottom w:val="single" w:sz="4" w:space="0" w:color="auto"/>
              <w:right w:val="nil"/>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right"/>
              <w:rPr>
                <w:rFonts w:ascii="Arial" w:hAnsi="Arial" w:cs="Arial"/>
                <w:sz w:val="18"/>
                <w:szCs w:val="18"/>
              </w:rPr>
            </w:pPr>
            <w:r w:rsidRPr="00C61B2A">
              <w:rPr>
                <w:rFonts w:ascii="Arial" w:hAnsi="Arial" w:cs="Arial"/>
                <w:sz w:val="18"/>
                <w:szCs w:val="18"/>
              </w:rPr>
              <w:t>0%</w:t>
            </w:r>
          </w:p>
        </w:tc>
      </w:tr>
      <w:tr w:rsidR="00234DDB" w:rsidRPr="00C61B2A" w:rsidTr="00A92686">
        <w:trPr>
          <w:trHeight w:val="600"/>
        </w:trPr>
        <w:tc>
          <w:tcPr>
            <w:tcW w:w="11173" w:type="dxa"/>
            <w:gridSpan w:val="6"/>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Providers who do not accept Medicare assignment cannot charge a Medicare beneficiary more than 115% of the Medicare-approved amount.</w:t>
            </w: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r>
      <w:tr w:rsidR="00234DDB" w:rsidRPr="00C61B2A" w:rsidTr="00A92686">
        <w:trPr>
          <w:trHeight w:val="360"/>
        </w:trPr>
        <w:tc>
          <w:tcPr>
            <w:tcW w:w="11173" w:type="dxa"/>
            <w:gridSpan w:val="6"/>
            <w:tcBorders>
              <w:top w:val="nil"/>
              <w:left w:val="nil"/>
              <w:bottom w:val="nil"/>
              <w:right w:val="nil"/>
            </w:tcBorders>
            <w:shd w:val="clear" w:color="auto" w:fill="auto"/>
            <w:hideMark/>
          </w:tcPr>
          <w:p w:rsidR="00234DDB" w:rsidRPr="00C61B2A" w:rsidRDefault="00234DDB" w:rsidP="00A92686">
            <w:pPr>
              <w:spacing w:after="0" w:line="240" w:lineRule="auto"/>
              <w:ind w:left="0" w:right="0" w:firstLine="0"/>
              <w:jc w:val="left"/>
              <w:rPr>
                <w:rFonts w:ascii="Arial" w:hAnsi="Arial" w:cs="Arial"/>
                <w:b/>
                <w:bCs/>
                <w:sz w:val="28"/>
                <w:szCs w:val="28"/>
              </w:rPr>
            </w:pPr>
            <w:r w:rsidRPr="00C61B2A">
              <w:rPr>
                <w:rFonts w:ascii="Arial" w:hAnsi="Arial" w:cs="Arial"/>
                <w:b/>
                <w:bCs/>
                <w:sz w:val="28"/>
                <w:szCs w:val="28"/>
              </w:rPr>
              <w:t>Coverage for Additional Medical Services</w:t>
            </w:r>
          </w:p>
        </w:tc>
      </w:tr>
      <w:tr w:rsidR="00234DDB" w:rsidRPr="00C61B2A" w:rsidTr="00A92686">
        <w:trPr>
          <w:trHeight w:val="300"/>
        </w:trPr>
        <w:tc>
          <w:tcPr>
            <w:tcW w:w="7493" w:type="dxa"/>
            <w:gridSpan w:val="3"/>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tcBorders>
              <w:top w:val="nil"/>
              <w:left w:val="nil"/>
              <w:bottom w:val="nil"/>
              <w:right w:val="nil"/>
            </w:tcBorders>
            <w:shd w:val="clear" w:color="auto" w:fill="auto"/>
            <w:vAlign w:val="bottom"/>
            <w:hideMark/>
          </w:tcPr>
          <w:p w:rsidR="00234DDB" w:rsidRPr="00C61B2A" w:rsidRDefault="00234DDB" w:rsidP="00A92686">
            <w:pPr>
              <w:spacing w:after="0" w:line="240" w:lineRule="auto"/>
              <w:ind w:left="0" w:right="0" w:firstLine="0"/>
              <w:jc w:val="left"/>
              <w:rPr>
                <w:rFonts w:ascii="Calibri" w:hAnsi="Calibri"/>
                <w:sz w:val="22"/>
              </w:rPr>
            </w:pPr>
          </w:p>
        </w:tc>
        <w:tc>
          <w:tcPr>
            <w:tcW w:w="1840" w:type="dxa"/>
            <w:gridSpan w:val="2"/>
            <w:tcBorders>
              <w:top w:val="nil"/>
              <w:left w:val="nil"/>
              <w:bottom w:val="nil"/>
              <w:right w:val="nil"/>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p>
        </w:tc>
      </w:tr>
      <w:tr w:rsidR="00234DDB" w:rsidRPr="00C61B2A" w:rsidTr="00A92686">
        <w:trPr>
          <w:trHeight w:val="630"/>
        </w:trPr>
        <w:tc>
          <w:tcPr>
            <w:tcW w:w="74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C61B2A">
              <w:rPr>
                <w:rFonts w:ascii="Arial" w:hAnsi="Arial" w:cs="Arial"/>
                <w:b/>
                <w:bCs/>
                <w:szCs w:val="24"/>
              </w:rPr>
              <w:t>Service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r w:rsidRPr="00893974">
              <w:rPr>
                <w:rFonts w:ascii="Arial" w:hAnsi="Arial" w:cs="Arial"/>
                <w:b/>
                <w:bCs/>
                <w:szCs w:val="24"/>
                <w:highlight w:val="yellow"/>
              </w:rPr>
              <w:t>Supplier’s Plan Pays</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center"/>
              <w:rPr>
                <w:rFonts w:ascii="Arial" w:hAnsi="Arial" w:cs="Arial"/>
                <w:b/>
                <w:bCs/>
                <w:szCs w:val="24"/>
              </w:rPr>
            </w:pPr>
            <w:proofErr w:type="spellStart"/>
            <w:r w:rsidRPr="00C61B2A">
              <w:rPr>
                <w:rFonts w:ascii="Arial" w:hAnsi="Arial" w:cs="Arial"/>
                <w:b/>
                <w:bCs/>
                <w:szCs w:val="24"/>
              </w:rPr>
              <w:t>HealthChoice</w:t>
            </w:r>
            <w:proofErr w:type="spellEnd"/>
            <w:r w:rsidRPr="00C61B2A">
              <w:rPr>
                <w:rFonts w:ascii="Arial" w:hAnsi="Arial" w:cs="Arial"/>
                <w:b/>
                <w:bCs/>
                <w:szCs w:val="24"/>
              </w:rPr>
              <w:t xml:space="preserve"> Pays</w:t>
            </w:r>
          </w:p>
        </w:tc>
      </w:tr>
      <w:tr w:rsidR="00234DDB" w:rsidRPr="00C61B2A" w:rsidTr="00A92686">
        <w:trPr>
          <w:trHeight w:val="300"/>
        </w:trPr>
        <w:tc>
          <w:tcPr>
            <w:tcW w:w="7493" w:type="dxa"/>
            <w:gridSpan w:val="3"/>
            <w:tcBorders>
              <w:top w:val="nil"/>
              <w:left w:val="single" w:sz="4" w:space="0" w:color="auto"/>
              <w:bottom w:val="nil"/>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b/>
                <w:bCs/>
                <w:sz w:val="18"/>
                <w:szCs w:val="18"/>
              </w:rPr>
            </w:pPr>
            <w:r w:rsidRPr="00C61B2A">
              <w:rPr>
                <w:rFonts w:ascii="Arial" w:hAnsi="Arial" w:cs="Arial"/>
                <w:b/>
                <w:bCs/>
                <w:sz w:val="18"/>
                <w:szCs w:val="18"/>
              </w:rPr>
              <w:t>Foreign Travel</w:t>
            </w:r>
          </w:p>
        </w:tc>
        <w:tc>
          <w:tcPr>
            <w:tcW w:w="1840" w:type="dxa"/>
            <w:tcBorders>
              <w:top w:val="nil"/>
              <w:left w:val="nil"/>
              <w:bottom w:val="nil"/>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nil"/>
              <w:right w:val="single" w:sz="4" w:space="0" w:color="auto"/>
            </w:tcBorders>
            <w:shd w:val="clear" w:color="auto" w:fill="auto"/>
            <w:noWrap/>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r>
      <w:tr w:rsidR="00234DDB" w:rsidRPr="00C61B2A" w:rsidTr="00A92686">
        <w:trPr>
          <w:trHeight w:val="1215"/>
        </w:trPr>
        <w:tc>
          <w:tcPr>
            <w:tcW w:w="7493" w:type="dxa"/>
            <w:gridSpan w:val="3"/>
            <w:tcBorders>
              <w:top w:val="nil"/>
              <w:left w:val="single" w:sz="4" w:space="0" w:color="auto"/>
              <w:bottom w:val="single" w:sz="4" w:space="0" w:color="auto"/>
              <w:right w:val="single" w:sz="4" w:space="0" w:color="auto"/>
            </w:tcBorders>
            <w:shd w:val="clear" w:color="auto" w:fill="auto"/>
            <w:hideMark/>
          </w:tcPr>
          <w:p w:rsidR="00234DDB" w:rsidRPr="00C61B2A" w:rsidRDefault="00234DDB" w:rsidP="00A92686">
            <w:pPr>
              <w:spacing w:after="0" w:line="240" w:lineRule="auto"/>
              <w:ind w:left="0" w:right="0" w:firstLineChars="100" w:firstLine="180"/>
              <w:jc w:val="left"/>
              <w:rPr>
                <w:rFonts w:ascii="Arial" w:hAnsi="Arial" w:cs="Arial"/>
                <w:sz w:val="18"/>
                <w:szCs w:val="18"/>
              </w:rPr>
            </w:pPr>
            <w:r w:rsidRPr="00C61B2A">
              <w:rPr>
                <w:rFonts w:ascii="Arial" w:hAnsi="Arial" w:cs="Arial"/>
                <w:sz w:val="18"/>
                <w:szCs w:val="18"/>
              </w:rPr>
              <w:t>Medically necessary emergency care services beginning during the first 60 days of each trip outside the U.S.A.</w:t>
            </w:r>
          </w:p>
        </w:tc>
        <w:tc>
          <w:tcPr>
            <w:tcW w:w="1840" w:type="dxa"/>
            <w:tcBorders>
              <w:top w:val="nil"/>
              <w:left w:val="nil"/>
              <w:bottom w:val="single" w:sz="4" w:space="0" w:color="auto"/>
              <w:right w:val="single" w:sz="4" w:space="0" w:color="auto"/>
            </w:tcBorders>
            <w:shd w:val="clear" w:color="000000" w:fill="F2DCDB"/>
            <w:vAlign w:val="bottom"/>
            <w:hideMark/>
          </w:tcPr>
          <w:p w:rsidR="00234DDB" w:rsidRPr="00C61B2A" w:rsidRDefault="00234DDB" w:rsidP="00A92686">
            <w:pPr>
              <w:spacing w:after="0" w:line="240" w:lineRule="auto"/>
              <w:ind w:left="0" w:right="0" w:firstLine="0"/>
              <w:jc w:val="left"/>
              <w:rPr>
                <w:rFonts w:ascii="Calibri" w:hAnsi="Calibri"/>
                <w:sz w:val="22"/>
              </w:rPr>
            </w:pPr>
            <w:r w:rsidRPr="00C61B2A">
              <w:rPr>
                <w:rFonts w:ascii="Calibri" w:hAnsi="Calibri"/>
                <w:sz w:val="22"/>
              </w:rPr>
              <w:t> </w:t>
            </w:r>
          </w:p>
        </w:tc>
        <w:tc>
          <w:tcPr>
            <w:tcW w:w="1840" w:type="dxa"/>
            <w:gridSpan w:val="2"/>
            <w:tcBorders>
              <w:top w:val="nil"/>
              <w:left w:val="nil"/>
              <w:bottom w:val="single" w:sz="4" w:space="0" w:color="auto"/>
              <w:right w:val="single" w:sz="4" w:space="0" w:color="auto"/>
            </w:tcBorders>
            <w:shd w:val="clear" w:color="auto" w:fill="auto"/>
            <w:vAlign w:val="bottom"/>
            <w:hideMark/>
          </w:tcPr>
          <w:p w:rsidR="00234DDB" w:rsidRPr="00C61B2A" w:rsidRDefault="00234DDB" w:rsidP="00A92686">
            <w:pPr>
              <w:spacing w:after="0" w:line="240" w:lineRule="auto"/>
              <w:ind w:left="0" w:right="0" w:firstLine="0"/>
              <w:jc w:val="left"/>
              <w:rPr>
                <w:rFonts w:ascii="Arial" w:hAnsi="Arial" w:cs="Arial"/>
                <w:sz w:val="18"/>
                <w:szCs w:val="18"/>
              </w:rPr>
            </w:pPr>
            <w:r w:rsidRPr="00C61B2A">
              <w:rPr>
                <w:rFonts w:ascii="Arial" w:hAnsi="Arial" w:cs="Arial"/>
                <w:sz w:val="18"/>
                <w:szCs w:val="18"/>
              </w:rPr>
              <w:t>80% after you pay the first $250 each calendar year.</w:t>
            </w:r>
            <w:r w:rsidRPr="00C61B2A">
              <w:rPr>
                <w:rFonts w:ascii="Arial" w:hAnsi="Arial" w:cs="Arial"/>
                <w:sz w:val="18"/>
                <w:szCs w:val="18"/>
              </w:rPr>
              <w:br/>
              <w:t>$50,000 lifetime maximum</w:t>
            </w:r>
          </w:p>
        </w:tc>
      </w:tr>
      <w:tr w:rsidR="00234DDB" w:rsidRPr="00D6003D" w:rsidTr="00A92686">
        <w:trPr>
          <w:gridAfter w:val="1"/>
          <w:wAfter w:w="80" w:type="dxa"/>
          <w:trHeight w:val="360"/>
        </w:trPr>
        <w:tc>
          <w:tcPr>
            <w:tcW w:w="11093" w:type="dxa"/>
            <w:gridSpan w:val="5"/>
            <w:tcBorders>
              <w:top w:val="nil"/>
              <w:left w:val="nil"/>
              <w:bottom w:val="nil"/>
              <w:right w:val="nil"/>
            </w:tcBorders>
            <w:shd w:val="clear" w:color="auto" w:fill="auto"/>
            <w:noWrap/>
            <w:hideMark/>
          </w:tcPr>
          <w:p w:rsidR="00234DDB" w:rsidRDefault="00234DDB" w:rsidP="00A92686">
            <w:pPr>
              <w:spacing w:after="0" w:line="240" w:lineRule="auto"/>
              <w:ind w:left="0" w:right="0" w:firstLine="0"/>
              <w:jc w:val="center"/>
              <w:rPr>
                <w:rFonts w:ascii="Arial" w:hAnsi="Arial" w:cs="Arial"/>
                <w:b/>
                <w:bCs/>
                <w:color w:val="231F20"/>
                <w:sz w:val="28"/>
                <w:szCs w:val="28"/>
              </w:rPr>
            </w:pPr>
          </w:p>
          <w:p w:rsidR="00234DDB" w:rsidRPr="00D6003D" w:rsidRDefault="00234DDB" w:rsidP="00A92686">
            <w:pPr>
              <w:spacing w:after="0" w:line="240" w:lineRule="auto"/>
              <w:ind w:left="0" w:right="0" w:firstLine="0"/>
              <w:jc w:val="left"/>
              <w:rPr>
                <w:rFonts w:ascii="Arial" w:hAnsi="Arial" w:cs="Arial"/>
                <w:b/>
                <w:bCs/>
                <w:color w:val="231F20"/>
                <w:sz w:val="28"/>
                <w:szCs w:val="28"/>
              </w:rPr>
            </w:pPr>
            <w:r w:rsidRPr="00D6003D">
              <w:rPr>
                <w:rFonts w:ascii="Arial" w:hAnsi="Arial" w:cs="Arial"/>
                <w:b/>
                <w:bCs/>
                <w:color w:val="231F20"/>
                <w:sz w:val="28"/>
                <w:szCs w:val="28"/>
              </w:rPr>
              <w:t>Pharmacy Copay Structure for Network Benefits</w:t>
            </w:r>
          </w:p>
        </w:tc>
      </w:tr>
      <w:tr w:rsidR="00234DDB" w:rsidRPr="00D6003D" w:rsidTr="00A92686">
        <w:trPr>
          <w:gridAfter w:val="1"/>
          <w:wAfter w:w="80" w:type="dxa"/>
          <w:trHeight w:val="300"/>
        </w:trPr>
        <w:tc>
          <w:tcPr>
            <w:tcW w:w="4393" w:type="dxa"/>
            <w:tcBorders>
              <w:top w:val="nil"/>
              <w:left w:val="nil"/>
              <w:bottom w:val="nil"/>
              <w:right w:val="nil"/>
            </w:tcBorders>
            <w:shd w:val="clear" w:color="auto" w:fill="auto"/>
            <w:noWrap/>
            <w:vAlign w:val="bottom"/>
            <w:hideMark/>
          </w:tcPr>
          <w:p w:rsidR="00234DDB" w:rsidRPr="00D6003D" w:rsidRDefault="00234DDB" w:rsidP="00A92686">
            <w:pPr>
              <w:spacing w:after="0" w:line="240" w:lineRule="auto"/>
              <w:ind w:left="0" w:right="0" w:firstLine="0"/>
              <w:jc w:val="left"/>
              <w:rPr>
                <w:rFonts w:ascii="Calibri" w:hAnsi="Calibri"/>
                <w:sz w:val="22"/>
              </w:rPr>
            </w:pPr>
          </w:p>
        </w:tc>
        <w:tc>
          <w:tcPr>
            <w:tcW w:w="2920" w:type="dxa"/>
            <w:tcBorders>
              <w:top w:val="nil"/>
              <w:left w:val="nil"/>
              <w:bottom w:val="nil"/>
              <w:right w:val="nil"/>
            </w:tcBorders>
            <w:shd w:val="clear" w:color="auto" w:fill="auto"/>
            <w:vAlign w:val="bottom"/>
            <w:hideMark/>
          </w:tcPr>
          <w:p w:rsidR="00234DDB" w:rsidRPr="00D6003D" w:rsidRDefault="00234DDB" w:rsidP="00A92686">
            <w:pPr>
              <w:spacing w:after="0" w:line="240" w:lineRule="auto"/>
              <w:ind w:left="0" w:right="0" w:firstLine="0"/>
              <w:jc w:val="left"/>
              <w:rPr>
                <w:rFonts w:ascii="Calibri" w:hAnsi="Calibri"/>
                <w:sz w:val="22"/>
              </w:rPr>
            </w:pPr>
          </w:p>
        </w:tc>
        <w:tc>
          <w:tcPr>
            <w:tcW w:w="3780" w:type="dxa"/>
            <w:gridSpan w:val="3"/>
            <w:tcBorders>
              <w:top w:val="nil"/>
              <w:left w:val="nil"/>
              <w:bottom w:val="nil"/>
              <w:right w:val="nil"/>
            </w:tcBorders>
            <w:shd w:val="clear" w:color="auto" w:fill="auto"/>
            <w:noWrap/>
            <w:vAlign w:val="bottom"/>
            <w:hideMark/>
          </w:tcPr>
          <w:p w:rsidR="00234DDB" w:rsidRPr="00D6003D" w:rsidRDefault="00234DDB" w:rsidP="00A92686">
            <w:pPr>
              <w:spacing w:after="0" w:line="240" w:lineRule="auto"/>
              <w:ind w:left="0" w:right="0" w:firstLine="0"/>
              <w:jc w:val="left"/>
              <w:rPr>
                <w:rFonts w:ascii="Calibri" w:hAnsi="Calibri"/>
                <w:sz w:val="22"/>
              </w:rPr>
            </w:pPr>
          </w:p>
        </w:tc>
      </w:tr>
      <w:tr w:rsidR="00234DDB" w:rsidRPr="00D6003D" w:rsidTr="00A92686">
        <w:trPr>
          <w:gridAfter w:val="1"/>
          <w:wAfter w:w="80" w:type="dxa"/>
          <w:trHeight w:val="795"/>
        </w:trPr>
        <w:tc>
          <w:tcPr>
            <w:tcW w:w="4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DB" w:rsidRPr="00D6003D" w:rsidRDefault="00234DDB" w:rsidP="00A92686">
            <w:pPr>
              <w:spacing w:after="0" w:line="240" w:lineRule="auto"/>
              <w:ind w:left="0" w:right="0" w:firstLine="0"/>
              <w:jc w:val="center"/>
              <w:rPr>
                <w:rFonts w:ascii="Arial" w:hAnsi="Arial" w:cs="Arial"/>
                <w:b/>
                <w:bCs/>
                <w:szCs w:val="24"/>
              </w:rPr>
            </w:pPr>
            <w:r w:rsidRPr="00D6003D">
              <w:rPr>
                <w:rFonts w:ascii="Arial" w:hAnsi="Arial" w:cs="Arial"/>
                <w:b/>
                <w:bCs/>
                <w:szCs w:val="24"/>
              </w:rPr>
              <w:t>General Information</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234DDB" w:rsidRPr="00D6003D" w:rsidRDefault="00234DDB" w:rsidP="00A92686">
            <w:pPr>
              <w:spacing w:after="0" w:line="240" w:lineRule="auto"/>
              <w:ind w:left="0" w:right="0" w:firstLine="0"/>
              <w:jc w:val="center"/>
              <w:rPr>
                <w:rFonts w:ascii="Arial" w:hAnsi="Arial" w:cs="Arial"/>
                <w:b/>
                <w:bCs/>
                <w:szCs w:val="24"/>
              </w:rPr>
            </w:pPr>
            <w:r w:rsidRPr="00893974">
              <w:rPr>
                <w:rFonts w:ascii="Arial" w:hAnsi="Arial" w:cs="Arial"/>
                <w:b/>
                <w:bCs/>
                <w:szCs w:val="24"/>
                <w:highlight w:val="yellow"/>
              </w:rPr>
              <w:t>Supplier’s Plan Pays</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rsidR="00234DDB" w:rsidRPr="00D6003D" w:rsidRDefault="00234DDB" w:rsidP="00A92686">
            <w:pPr>
              <w:spacing w:after="0" w:line="240" w:lineRule="auto"/>
              <w:ind w:left="0" w:right="0" w:firstLine="0"/>
              <w:jc w:val="center"/>
              <w:rPr>
                <w:rFonts w:ascii="Arial" w:hAnsi="Arial" w:cs="Arial"/>
                <w:b/>
                <w:bCs/>
                <w:szCs w:val="24"/>
              </w:rPr>
            </w:pPr>
            <w:proofErr w:type="spellStart"/>
            <w:r w:rsidRPr="00D6003D">
              <w:rPr>
                <w:rFonts w:ascii="Arial" w:hAnsi="Arial" w:cs="Arial"/>
                <w:b/>
                <w:bCs/>
                <w:szCs w:val="24"/>
              </w:rPr>
              <w:t>HealthChoice</w:t>
            </w:r>
            <w:proofErr w:type="spellEnd"/>
            <w:r w:rsidRPr="00D6003D">
              <w:rPr>
                <w:rFonts w:ascii="Arial" w:hAnsi="Arial" w:cs="Arial"/>
                <w:b/>
                <w:bCs/>
                <w:szCs w:val="24"/>
              </w:rPr>
              <w:t xml:space="preserve"> </w:t>
            </w:r>
            <w:proofErr w:type="spellStart"/>
            <w:r w:rsidRPr="00D6003D">
              <w:rPr>
                <w:rFonts w:ascii="Arial" w:hAnsi="Arial" w:cs="Arial"/>
                <w:b/>
                <w:bCs/>
                <w:szCs w:val="24"/>
              </w:rPr>
              <w:t>SilverScript</w:t>
            </w:r>
            <w:proofErr w:type="spellEnd"/>
            <w:r w:rsidRPr="00D6003D">
              <w:rPr>
                <w:rFonts w:ascii="Arial" w:hAnsi="Arial" w:cs="Arial"/>
                <w:b/>
                <w:bCs/>
                <w:szCs w:val="24"/>
              </w:rPr>
              <w:t xml:space="preserve"> High Option</w:t>
            </w:r>
          </w:p>
        </w:tc>
      </w:tr>
      <w:tr w:rsidR="00234DDB" w:rsidRPr="00D6003D" w:rsidTr="00234DDB">
        <w:trPr>
          <w:gridAfter w:val="1"/>
          <w:wAfter w:w="80" w:type="dxa"/>
          <w:trHeight w:val="735"/>
        </w:trPr>
        <w:tc>
          <w:tcPr>
            <w:tcW w:w="4393" w:type="dxa"/>
            <w:tcBorders>
              <w:top w:val="nil"/>
              <w:left w:val="single" w:sz="4" w:space="0" w:color="auto"/>
              <w:right w:val="single" w:sz="4" w:space="0" w:color="auto"/>
            </w:tcBorders>
            <w:shd w:val="clear" w:color="auto" w:fill="auto"/>
            <w:hideMark/>
          </w:tcPr>
          <w:p w:rsidR="00234DDB" w:rsidRPr="00D6003D" w:rsidRDefault="00234DDB" w:rsidP="00A92686">
            <w:pPr>
              <w:spacing w:after="0" w:line="240" w:lineRule="auto"/>
              <w:ind w:left="0" w:right="0" w:firstLine="0"/>
              <w:jc w:val="left"/>
              <w:rPr>
                <w:rFonts w:ascii="Arial" w:hAnsi="Arial" w:cs="Arial"/>
                <w:sz w:val="18"/>
                <w:szCs w:val="18"/>
              </w:rPr>
            </w:pPr>
            <w:r w:rsidRPr="00D6003D">
              <w:rPr>
                <w:rFonts w:ascii="Arial" w:hAnsi="Arial" w:cs="Arial"/>
                <w:sz w:val="18"/>
                <w:szCs w:val="18"/>
              </w:rPr>
              <w:t>These plans use a formulary</w:t>
            </w:r>
          </w:p>
        </w:tc>
        <w:tc>
          <w:tcPr>
            <w:tcW w:w="2920" w:type="dxa"/>
            <w:tcBorders>
              <w:top w:val="nil"/>
              <w:left w:val="nil"/>
              <w:bottom w:val="single" w:sz="4" w:space="0" w:color="auto"/>
              <w:right w:val="nil"/>
            </w:tcBorders>
            <w:shd w:val="clear" w:color="auto" w:fill="auto"/>
            <w:vAlign w:val="bottom"/>
            <w:hideMark/>
          </w:tcPr>
          <w:p w:rsidR="00234DDB" w:rsidRPr="00D6003D" w:rsidRDefault="00234DDB" w:rsidP="00A92686">
            <w:pPr>
              <w:spacing w:after="0" w:line="240" w:lineRule="auto"/>
              <w:ind w:left="0" w:right="0" w:firstLine="0"/>
              <w:jc w:val="left"/>
              <w:rPr>
                <w:rFonts w:ascii="Calibri" w:hAnsi="Calibri"/>
                <w:sz w:val="22"/>
              </w:rPr>
            </w:pPr>
          </w:p>
        </w:tc>
        <w:tc>
          <w:tcPr>
            <w:tcW w:w="3780" w:type="dxa"/>
            <w:gridSpan w:val="3"/>
            <w:tcBorders>
              <w:top w:val="nil"/>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0"/>
              <w:jc w:val="left"/>
              <w:rPr>
                <w:rFonts w:ascii="Arial" w:hAnsi="Arial" w:cs="Arial"/>
                <w:sz w:val="18"/>
                <w:szCs w:val="18"/>
              </w:rPr>
            </w:pPr>
            <w:r w:rsidRPr="00D6003D">
              <w:rPr>
                <w:rFonts w:ascii="Arial" w:hAnsi="Arial" w:cs="Arial"/>
                <w:sz w:val="18"/>
                <w:szCs w:val="18"/>
              </w:rPr>
              <w:t>No annual deductible and no Coverage Gap. There is an annual out-of-pocket maximum of $4,850.</w:t>
            </w:r>
          </w:p>
        </w:tc>
      </w:tr>
      <w:tr w:rsidR="00234DDB" w:rsidRPr="00D6003D" w:rsidTr="00234DDB">
        <w:trPr>
          <w:gridAfter w:val="1"/>
          <w:wAfter w:w="80" w:type="dxa"/>
          <w:trHeight w:val="420"/>
        </w:trPr>
        <w:tc>
          <w:tcPr>
            <w:tcW w:w="4393" w:type="dxa"/>
            <w:vMerge w:val="restart"/>
            <w:tcBorders>
              <w:left w:val="single" w:sz="4" w:space="0" w:color="auto"/>
              <w:bottom w:val="single" w:sz="4" w:space="0" w:color="auto"/>
              <w:right w:val="single" w:sz="4" w:space="0" w:color="auto"/>
            </w:tcBorders>
            <w:shd w:val="clear" w:color="auto" w:fill="auto"/>
            <w:hideMark/>
          </w:tcPr>
          <w:p w:rsidR="00234DDB" w:rsidRPr="00D6003D" w:rsidRDefault="00234DDB" w:rsidP="00A92686">
            <w:pPr>
              <w:spacing w:after="0" w:line="240" w:lineRule="auto"/>
              <w:ind w:left="0" w:right="0" w:firstLine="0"/>
              <w:jc w:val="left"/>
              <w:rPr>
                <w:rFonts w:ascii="Arial" w:hAnsi="Arial" w:cs="Arial"/>
                <w:sz w:val="18"/>
                <w:szCs w:val="18"/>
              </w:rPr>
            </w:pPr>
            <w:r w:rsidRPr="00D6003D">
              <w:rPr>
                <w:rFonts w:ascii="Arial" w:hAnsi="Arial" w:cs="Arial"/>
                <w:sz w:val="18"/>
                <w:szCs w:val="18"/>
              </w:rPr>
              <w:t>Mandatory generic and formulary medications you get at a Network Pharmacy</w:t>
            </w:r>
            <w:r w:rsidRPr="00D6003D">
              <w:rPr>
                <w:rFonts w:ascii="Arial" w:hAnsi="Arial" w:cs="Arial"/>
                <w:sz w:val="18"/>
                <w:szCs w:val="18"/>
              </w:rPr>
              <w:br/>
            </w:r>
            <w:r w:rsidRPr="00D6003D">
              <w:rPr>
                <w:rFonts w:ascii="Arial" w:hAnsi="Arial" w:cs="Arial"/>
                <w:sz w:val="18"/>
                <w:szCs w:val="18"/>
              </w:rPr>
              <w:br/>
              <w:t>Some drugs require prior authorization</w:t>
            </w:r>
            <w:r w:rsidRPr="00D6003D">
              <w:rPr>
                <w:rFonts w:ascii="Arial" w:hAnsi="Arial" w:cs="Arial"/>
                <w:sz w:val="18"/>
                <w:szCs w:val="18"/>
              </w:rPr>
              <w:br/>
            </w:r>
            <w:r w:rsidRPr="00D6003D">
              <w:rPr>
                <w:rFonts w:ascii="Arial" w:hAnsi="Arial" w:cs="Arial"/>
                <w:sz w:val="18"/>
                <w:szCs w:val="18"/>
              </w:rPr>
              <w:lastRenderedPageBreak/>
              <w:br/>
              <w:t>Quantity limits apply to certain drugs</w:t>
            </w:r>
            <w:r w:rsidRPr="00D6003D">
              <w:rPr>
                <w:rFonts w:ascii="Arial" w:hAnsi="Arial" w:cs="Arial"/>
                <w:sz w:val="18"/>
                <w:szCs w:val="18"/>
              </w:rPr>
              <w:br/>
            </w:r>
            <w:r w:rsidRPr="00D6003D">
              <w:rPr>
                <w:rFonts w:ascii="Arial" w:hAnsi="Arial" w:cs="Arial"/>
                <w:sz w:val="18"/>
                <w:szCs w:val="18"/>
              </w:rPr>
              <w:br/>
              <w:t>Only copays for covered drugs purchased at Network Pharmacies count toward out-of-pocket maximums</w:t>
            </w:r>
            <w:r w:rsidRPr="00D6003D">
              <w:rPr>
                <w:rFonts w:ascii="Arial" w:hAnsi="Arial" w:cs="Arial"/>
                <w:sz w:val="18"/>
                <w:szCs w:val="18"/>
              </w:rPr>
              <w:br/>
            </w:r>
            <w:r w:rsidRPr="00D6003D">
              <w:rPr>
                <w:rFonts w:ascii="Arial" w:hAnsi="Arial" w:cs="Arial"/>
                <w:sz w:val="18"/>
                <w:szCs w:val="18"/>
              </w:rPr>
              <w:br/>
              <w:t>Pharmacy benefits must meet the minimum requirements for benefits as outlined in the Medicare Modernization Act of 2003</w:t>
            </w:r>
            <w:r w:rsidRPr="00D6003D">
              <w:rPr>
                <w:rFonts w:ascii="Arial" w:hAnsi="Arial" w:cs="Arial"/>
                <w:sz w:val="18"/>
                <w:szCs w:val="18"/>
              </w:rPr>
              <w:br/>
            </w:r>
            <w:r w:rsidRPr="00D6003D">
              <w:rPr>
                <w:rFonts w:ascii="Arial" w:hAnsi="Arial" w:cs="Arial"/>
                <w:sz w:val="18"/>
                <w:szCs w:val="18"/>
              </w:rPr>
              <w:br/>
              <w:t>Pharmacy benefits must meet the minimum requirements for benefits as outlined in the Medicare Modernization Act of 2003</w:t>
            </w:r>
            <w:r w:rsidRPr="00D6003D">
              <w:rPr>
                <w:rFonts w:ascii="Arial" w:hAnsi="Arial" w:cs="Arial"/>
                <w:sz w:val="18"/>
                <w:szCs w:val="18"/>
              </w:rPr>
              <w:br/>
            </w:r>
            <w:r w:rsidRPr="00D6003D">
              <w:rPr>
                <w:rFonts w:ascii="Arial" w:hAnsi="Arial" w:cs="Arial"/>
                <w:sz w:val="18"/>
                <w:szCs w:val="18"/>
              </w:rPr>
              <w:br/>
              <w:t>You will be notified before any changes are made to your plan's formulary</w:t>
            </w:r>
          </w:p>
        </w:tc>
        <w:tc>
          <w:tcPr>
            <w:tcW w:w="6700" w:type="dxa"/>
            <w:gridSpan w:val="4"/>
            <w:tcBorders>
              <w:top w:val="single" w:sz="4" w:space="0" w:color="auto"/>
              <w:left w:val="nil"/>
              <w:bottom w:val="single" w:sz="4" w:space="0" w:color="auto"/>
              <w:right w:val="single" w:sz="4" w:space="0" w:color="000000"/>
            </w:tcBorders>
            <w:shd w:val="clear" w:color="auto" w:fill="auto"/>
            <w:vAlign w:val="bottom"/>
            <w:hideMark/>
          </w:tcPr>
          <w:p w:rsidR="00234DDB" w:rsidRPr="00D6003D" w:rsidRDefault="00234DDB" w:rsidP="00A92686">
            <w:pPr>
              <w:spacing w:after="0" w:line="240" w:lineRule="auto"/>
              <w:ind w:left="0" w:right="0" w:firstLine="0"/>
              <w:jc w:val="center"/>
              <w:rPr>
                <w:rFonts w:ascii="Arial" w:hAnsi="Arial" w:cs="Arial"/>
                <w:b/>
                <w:bCs/>
                <w:sz w:val="20"/>
                <w:szCs w:val="20"/>
              </w:rPr>
            </w:pPr>
            <w:r w:rsidRPr="00D6003D">
              <w:rPr>
                <w:rFonts w:ascii="Arial" w:hAnsi="Arial" w:cs="Arial"/>
                <w:b/>
                <w:bCs/>
                <w:sz w:val="20"/>
                <w:szCs w:val="20"/>
              </w:rPr>
              <w:lastRenderedPageBreak/>
              <w:t>30- Day Supply</w:t>
            </w:r>
          </w:p>
        </w:tc>
      </w:tr>
      <w:tr w:rsidR="00234DDB" w:rsidRPr="00D6003D" w:rsidTr="00234DDB">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Generic (Tier 1) Drugs</w:t>
            </w:r>
            <w:r w:rsidRPr="00D6003D">
              <w:rPr>
                <w:rFonts w:ascii="Arial" w:hAnsi="Arial" w:cs="Arial"/>
                <w:sz w:val="18"/>
                <w:szCs w:val="18"/>
              </w:rPr>
              <w:br/>
              <w:t xml:space="preserve">Up to $10 copay </w:t>
            </w:r>
          </w:p>
        </w:tc>
      </w:tr>
      <w:tr w:rsidR="00234DDB" w:rsidRPr="00D6003D" w:rsidTr="00234DDB">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 xml:space="preserve">Preferred (Tier 2) Drugs </w:t>
            </w:r>
            <w:r w:rsidRPr="00D6003D">
              <w:rPr>
                <w:rFonts w:ascii="Arial" w:hAnsi="Arial" w:cs="Arial"/>
                <w:sz w:val="18"/>
                <w:szCs w:val="18"/>
              </w:rPr>
              <w:br/>
              <w:t>Up to $45 copay</w:t>
            </w:r>
          </w:p>
        </w:tc>
      </w:tr>
      <w:tr w:rsidR="00234DDB" w:rsidRPr="00D6003D" w:rsidTr="00A92686">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single" w:sz="4" w:space="0" w:color="auto"/>
              <w:left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uto"/>
              <w:left w:val="single" w:sz="4" w:space="0" w:color="auto"/>
              <w:bottom w:val="single" w:sz="4" w:space="0" w:color="A6A6A6"/>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Non-Preferred (Tier 3) Drugs</w:t>
            </w:r>
            <w:r w:rsidRPr="00D6003D">
              <w:rPr>
                <w:rFonts w:ascii="Arial" w:hAnsi="Arial" w:cs="Arial"/>
                <w:sz w:val="18"/>
                <w:szCs w:val="18"/>
              </w:rPr>
              <w:br/>
              <w:t xml:space="preserve">Up to $75 copay </w:t>
            </w:r>
          </w:p>
        </w:tc>
      </w:tr>
      <w:tr w:rsidR="00234DDB" w:rsidRPr="00D6003D" w:rsidTr="00A92686">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nil"/>
              <w:left w:val="single" w:sz="4" w:space="0" w:color="auto"/>
              <w:bottom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6A6A6"/>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tabs>
                <w:tab w:val="left" w:pos="2684"/>
              </w:tabs>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 xml:space="preserve">Specialty (Tier 4) Drugs </w:t>
            </w:r>
            <w:r w:rsidRPr="00D6003D">
              <w:rPr>
                <w:rFonts w:ascii="Arial" w:hAnsi="Arial" w:cs="Arial"/>
                <w:sz w:val="18"/>
                <w:szCs w:val="18"/>
              </w:rPr>
              <w:br/>
              <w:t>Up to $100 copay</w:t>
            </w:r>
          </w:p>
        </w:tc>
      </w:tr>
      <w:tr w:rsidR="00234DDB" w:rsidRPr="00D6003D" w:rsidTr="00A92686">
        <w:trPr>
          <w:gridAfter w:val="1"/>
          <w:wAfter w:w="80" w:type="dxa"/>
          <w:trHeight w:val="63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Preferred Tobacco Cessation (Tier 5) Drug</w:t>
            </w:r>
            <w:r w:rsidRPr="00D6003D">
              <w:rPr>
                <w:rFonts w:ascii="Arial" w:hAnsi="Arial" w:cs="Arial"/>
                <w:sz w:val="18"/>
                <w:szCs w:val="18"/>
              </w:rPr>
              <w:t>s</w:t>
            </w:r>
            <w:r w:rsidRPr="00D6003D">
              <w:rPr>
                <w:rFonts w:ascii="Arial" w:hAnsi="Arial" w:cs="Arial"/>
                <w:sz w:val="18"/>
                <w:szCs w:val="18"/>
              </w:rPr>
              <w:br/>
              <w:t>$0 copay</w:t>
            </w:r>
          </w:p>
        </w:tc>
      </w:tr>
      <w:tr w:rsidR="00234DDB" w:rsidRPr="00D6003D" w:rsidTr="00A92686">
        <w:trPr>
          <w:gridAfter w:val="1"/>
          <w:wAfter w:w="80" w:type="dxa"/>
          <w:trHeight w:val="30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single" w:sz="4" w:space="0" w:color="auto"/>
              <w:left w:val="single" w:sz="4" w:space="0" w:color="auto"/>
            </w:tcBorders>
            <w:shd w:val="clear" w:color="auto" w:fill="auto"/>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0"/>
              <w:jc w:val="left"/>
              <w:rPr>
                <w:rFonts w:ascii="Arial" w:hAnsi="Arial" w:cs="Arial"/>
                <w:sz w:val="18"/>
                <w:szCs w:val="18"/>
              </w:rPr>
            </w:pPr>
            <w:r w:rsidRPr="00D6003D">
              <w:rPr>
                <w:rFonts w:ascii="Arial" w:hAnsi="Arial" w:cs="Arial"/>
                <w:sz w:val="18"/>
                <w:szCs w:val="18"/>
              </w:rPr>
              <w:t> </w:t>
            </w:r>
          </w:p>
        </w:tc>
      </w:tr>
      <w:tr w:rsidR="00234DDB" w:rsidRPr="00D6003D" w:rsidTr="00A92686">
        <w:trPr>
          <w:gridAfter w:val="1"/>
          <w:wAfter w:w="80" w:type="dxa"/>
          <w:trHeight w:val="30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6700" w:type="dxa"/>
            <w:gridSpan w:val="4"/>
            <w:tcBorders>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0"/>
              <w:jc w:val="center"/>
              <w:rPr>
                <w:rFonts w:ascii="Arial" w:hAnsi="Arial" w:cs="Arial"/>
                <w:b/>
                <w:bCs/>
                <w:sz w:val="20"/>
                <w:szCs w:val="20"/>
              </w:rPr>
            </w:pPr>
            <w:r w:rsidRPr="00D6003D">
              <w:rPr>
                <w:rFonts w:ascii="Arial" w:hAnsi="Arial" w:cs="Arial"/>
                <w:b/>
                <w:bCs/>
                <w:sz w:val="20"/>
                <w:szCs w:val="20"/>
              </w:rPr>
              <w:t>31- to 90-Day Supply</w:t>
            </w:r>
          </w:p>
        </w:tc>
      </w:tr>
      <w:tr w:rsidR="00234DDB" w:rsidRPr="00D6003D" w:rsidTr="00A92686">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single" w:sz="4" w:space="0" w:color="auto"/>
              <w:left w:val="single" w:sz="4" w:space="0" w:color="auto"/>
              <w:bottom w:val="nil"/>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single" w:sz="4" w:space="0" w:color="auto"/>
              <w:left w:val="single" w:sz="4" w:space="0" w:color="auto"/>
              <w:bottom w:val="single" w:sz="4" w:space="0" w:color="A6A6A6"/>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Generic (Tier 1) Drugs</w:t>
            </w:r>
            <w:r w:rsidRPr="00D6003D">
              <w:rPr>
                <w:rFonts w:ascii="Arial" w:hAnsi="Arial" w:cs="Arial"/>
                <w:b/>
                <w:bCs/>
                <w:sz w:val="18"/>
                <w:szCs w:val="18"/>
              </w:rPr>
              <w:br/>
            </w:r>
            <w:r w:rsidRPr="00D6003D">
              <w:rPr>
                <w:rFonts w:ascii="Arial" w:hAnsi="Arial" w:cs="Arial"/>
                <w:sz w:val="18"/>
                <w:szCs w:val="18"/>
              </w:rPr>
              <w:t xml:space="preserve">Up to $25 copay </w:t>
            </w:r>
          </w:p>
        </w:tc>
      </w:tr>
      <w:tr w:rsidR="00234DDB" w:rsidRPr="00D6003D" w:rsidTr="00A92686">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left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nil"/>
              <w:left w:val="single" w:sz="4" w:space="0" w:color="auto"/>
              <w:bottom w:val="single" w:sz="4" w:space="0" w:color="A6A6A6"/>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 xml:space="preserve">Preferred (Tier 2) Drugs </w:t>
            </w:r>
            <w:r w:rsidRPr="00D6003D">
              <w:rPr>
                <w:rFonts w:ascii="Arial" w:hAnsi="Arial" w:cs="Arial"/>
                <w:sz w:val="18"/>
                <w:szCs w:val="18"/>
              </w:rPr>
              <w:br/>
              <w:t>Up to a $90 copay</w:t>
            </w:r>
          </w:p>
        </w:tc>
      </w:tr>
      <w:tr w:rsidR="00234DDB" w:rsidRPr="00D6003D" w:rsidTr="00A92686">
        <w:trPr>
          <w:gridAfter w:val="1"/>
          <w:wAfter w:w="80" w:type="dxa"/>
          <w:trHeight w:val="49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nil"/>
              <w:left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nil"/>
              <w:left w:val="single" w:sz="4" w:space="0" w:color="auto"/>
              <w:bottom w:val="single" w:sz="4" w:space="0" w:color="A6A6A6"/>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Non-Preferred (Tier 3) Drugs</w:t>
            </w:r>
            <w:r w:rsidRPr="00D6003D">
              <w:rPr>
                <w:rFonts w:ascii="Arial" w:hAnsi="Arial" w:cs="Arial"/>
                <w:sz w:val="18"/>
                <w:szCs w:val="18"/>
              </w:rPr>
              <w:br/>
              <w:t>Up to $150 copay</w:t>
            </w:r>
          </w:p>
        </w:tc>
      </w:tr>
      <w:tr w:rsidR="00234DDB" w:rsidRPr="00D6003D" w:rsidTr="00A92686">
        <w:trPr>
          <w:gridAfter w:val="1"/>
          <w:wAfter w:w="80" w:type="dxa"/>
          <w:trHeight w:val="735"/>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nil"/>
              <w:left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nil"/>
              <w:left w:val="single" w:sz="4" w:space="0" w:color="auto"/>
              <w:bottom w:val="single" w:sz="4" w:space="0" w:color="A6A6A6"/>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Specialty (Tier 4) Drugs</w:t>
            </w:r>
            <w:r w:rsidRPr="00D6003D">
              <w:rPr>
                <w:rFonts w:ascii="Arial" w:hAnsi="Arial" w:cs="Arial"/>
                <w:sz w:val="18"/>
                <w:szCs w:val="18"/>
              </w:rPr>
              <w:br/>
              <w:t>Specialty drugs are available in only a 30-day supply</w:t>
            </w:r>
          </w:p>
        </w:tc>
      </w:tr>
      <w:tr w:rsidR="00234DDB" w:rsidRPr="00D6003D" w:rsidTr="00A92686">
        <w:trPr>
          <w:gridAfter w:val="1"/>
          <w:wAfter w:w="80" w:type="dxa"/>
          <w:trHeight w:val="674"/>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top w:val="nil"/>
              <w:left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nil"/>
              <w:left w:val="single" w:sz="4" w:space="0" w:color="auto"/>
              <w:bottom w:val="single" w:sz="4" w:space="0" w:color="auto"/>
              <w:right w:val="single" w:sz="4" w:space="0" w:color="auto"/>
            </w:tcBorders>
            <w:shd w:val="clear" w:color="auto" w:fill="auto"/>
            <w:vAlign w:val="bottom"/>
            <w:hideMark/>
          </w:tcPr>
          <w:p w:rsidR="00234DDB" w:rsidRPr="00D6003D" w:rsidRDefault="00234DDB" w:rsidP="00A92686">
            <w:pPr>
              <w:spacing w:after="0" w:line="240" w:lineRule="auto"/>
              <w:ind w:left="0" w:right="0" w:firstLineChars="100" w:firstLine="181"/>
              <w:jc w:val="left"/>
              <w:rPr>
                <w:rFonts w:ascii="Arial" w:hAnsi="Arial" w:cs="Arial"/>
                <w:sz w:val="18"/>
                <w:szCs w:val="18"/>
              </w:rPr>
            </w:pPr>
            <w:r w:rsidRPr="00D6003D">
              <w:rPr>
                <w:rFonts w:ascii="Arial" w:hAnsi="Arial" w:cs="Arial"/>
                <w:b/>
                <w:bCs/>
                <w:sz w:val="18"/>
                <w:szCs w:val="18"/>
              </w:rPr>
              <w:t>Preferred Tobacco Cessation (Tier 5) Drugs</w:t>
            </w:r>
            <w:r w:rsidRPr="00D6003D">
              <w:rPr>
                <w:rFonts w:ascii="Arial" w:hAnsi="Arial" w:cs="Arial"/>
                <w:sz w:val="18"/>
                <w:szCs w:val="18"/>
              </w:rPr>
              <w:br/>
              <w:t>$0 copay</w:t>
            </w:r>
          </w:p>
        </w:tc>
      </w:tr>
      <w:tr w:rsidR="00234DDB" w:rsidRPr="00D6003D" w:rsidTr="00A92686">
        <w:trPr>
          <w:gridAfter w:val="1"/>
          <w:wAfter w:w="80" w:type="dxa"/>
          <w:trHeight w:val="125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234DDB" w:rsidRPr="00D6003D" w:rsidRDefault="00234DDB" w:rsidP="00A92686">
            <w:pPr>
              <w:spacing w:after="0" w:line="240" w:lineRule="auto"/>
              <w:ind w:left="0" w:right="0" w:firstLine="0"/>
              <w:jc w:val="left"/>
              <w:rPr>
                <w:rFonts w:ascii="Arial" w:hAnsi="Arial" w:cs="Arial"/>
                <w:sz w:val="18"/>
                <w:szCs w:val="18"/>
              </w:rPr>
            </w:pPr>
          </w:p>
        </w:tc>
        <w:tc>
          <w:tcPr>
            <w:tcW w:w="2920" w:type="dxa"/>
            <w:tcBorders>
              <w:left w:val="nil"/>
              <w:bottom w:val="single" w:sz="4" w:space="0" w:color="auto"/>
              <w:right w:val="single" w:sz="4" w:space="0" w:color="auto"/>
            </w:tcBorders>
            <w:shd w:val="clear" w:color="000000" w:fill="F2DCDB"/>
            <w:vAlign w:val="bottom"/>
            <w:hideMark/>
          </w:tcPr>
          <w:p w:rsidR="00234DDB" w:rsidRPr="00D6003D" w:rsidRDefault="00234DDB" w:rsidP="00A92686">
            <w:pPr>
              <w:spacing w:after="0" w:line="240" w:lineRule="auto"/>
              <w:ind w:left="0" w:right="0" w:firstLine="0"/>
              <w:jc w:val="left"/>
              <w:rPr>
                <w:rFonts w:ascii="Calibri" w:hAnsi="Calibri"/>
                <w:sz w:val="22"/>
              </w:rPr>
            </w:pPr>
            <w:r w:rsidRPr="00D6003D">
              <w:rPr>
                <w:rFonts w:ascii="Calibri" w:hAnsi="Calibri"/>
                <w:sz w:val="22"/>
              </w:rPr>
              <w:t> </w:t>
            </w:r>
          </w:p>
        </w:tc>
        <w:tc>
          <w:tcPr>
            <w:tcW w:w="3780" w:type="dxa"/>
            <w:gridSpan w:val="3"/>
            <w:tcBorders>
              <w:top w:val="nil"/>
              <w:left w:val="nil"/>
              <w:bottom w:val="single" w:sz="4" w:space="0" w:color="auto"/>
              <w:right w:val="single" w:sz="4" w:space="0" w:color="auto"/>
            </w:tcBorders>
            <w:shd w:val="clear" w:color="auto" w:fill="auto"/>
            <w:hideMark/>
          </w:tcPr>
          <w:p w:rsidR="00234DDB" w:rsidRDefault="00234DDB" w:rsidP="00A92686">
            <w:pPr>
              <w:spacing w:after="0" w:line="240" w:lineRule="auto"/>
              <w:ind w:left="0" w:right="0" w:firstLine="0"/>
              <w:jc w:val="left"/>
              <w:rPr>
                <w:rFonts w:ascii="Arial" w:hAnsi="Arial" w:cs="Arial"/>
                <w:sz w:val="18"/>
                <w:szCs w:val="18"/>
              </w:rPr>
            </w:pPr>
          </w:p>
          <w:p w:rsidR="00234DDB" w:rsidRPr="00D6003D" w:rsidRDefault="00234DDB" w:rsidP="00A92686">
            <w:pPr>
              <w:spacing w:after="0" w:line="240" w:lineRule="auto"/>
              <w:ind w:left="0" w:right="0" w:firstLine="0"/>
              <w:jc w:val="left"/>
              <w:rPr>
                <w:rFonts w:ascii="Arial" w:hAnsi="Arial" w:cs="Arial"/>
                <w:sz w:val="18"/>
                <w:szCs w:val="18"/>
              </w:rPr>
            </w:pPr>
            <w:r w:rsidRPr="00D6003D">
              <w:rPr>
                <w:rFonts w:ascii="Arial" w:hAnsi="Arial" w:cs="Arial"/>
                <w:sz w:val="18"/>
                <w:szCs w:val="18"/>
              </w:rPr>
              <w:t>Once the out-of-pocket maximum of $4,850 is reached, you pay</w:t>
            </w:r>
            <w:r>
              <w:rPr>
                <w:rFonts w:ascii="Arial" w:hAnsi="Arial" w:cs="Arial"/>
                <w:sz w:val="18"/>
                <w:szCs w:val="18"/>
              </w:rPr>
              <w:t xml:space="preserve"> </w:t>
            </w:r>
            <w:r w:rsidRPr="00D6003D">
              <w:rPr>
                <w:rFonts w:ascii="Arial" w:hAnsi="Arial" w:cs="Arial"/>
                <w:sz w:val="18"/>
                <w:szCs w:val="18"/>
              </w:rPr>
              <w:t>0% of Allowable Fees for covered prescription drugs purchased</w:t>
            </w:r>
            <w:r w:rsidRPr="00D6003D">
              <w:rPr>
                <w:rFonts w:ascii="Arial" w:hAnsi="Arial" w:cs="Arial"/>
                <w:sz w:val="18"/>
                <w:szCs w:val="18"/>
              </w:rPr>
              <w:br/>
              <w:t>at Network Pharmacies for the</w:t>
            </w:r>
            <w:r w:rsidRPr="00D6003D">
              <w:rPr>
                <w:rFonts w:ascii="Arial" w:hAnsi="Arial" w:cs="Arial"/>
                <w:sz w:val="18"/>
                <w:szCs w:val="18"/>
              </w:rPr>
              <w:br/>
              <w:t>remainder of the calendar year.</w:t>
            </w:r>
          </w:p>
        </w:tc>
      </w:tr>
    </w:tbl>
    <w:p w:rsidR="00BC3DA9" w:rsidRDefault="00BC3DA9"/>
    <w:sectPr w:rsidR="00BC3DA9" w:rsidSect="00234DDB">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DB"/>
    <w:rsid w:val="0002479C"/>
    <w:rsid w:val="00234DDB"/>
    <w:rsid w:val="00893974"/>
    <w:rsid w:val="00BC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DB"/>
    <w:pPr>
      <w:spacing w:after="3" w:line="247" w:lineRule="auto"/>
      <w:ind w:left="145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D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DB"/>
    <w:pPr>
      <w:spacing w:after="3" w:line="247" w:lineRule="auto"/>
      <w:ind w:left="145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D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Stout</dc:creator>
  <cp:lastModifiedBy>Susan Stout</cp:lastModifiedBy>
  <cp:revision>3</cp:revision>
  <dcterms:created xsi:type="dcterms:W3CDTF">2017-05-15T19:47:00Z</dcterms:created>
  <dcterms:modified xsi:type="dcterms:W3CDTF">2017-05-15T20:34:00Z</dcterms:modified>
</cp:coreProperties>
</file>