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B8" w:rsidRPr="006C2B2A" w:rsidRDefault="006208B8" w:rsidP="006208B8">
      <w:pPr>
        <w:tabs>
          <w:tab w:val="left" w:pos="2207"/>
        </w:tabs>
        <w:spacing w:after="100" w:afterAutospacing="1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School/District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 Name:___________________</w:t>
      </w:r>
    </w:p>
    <w:p w:rsidR="006C2B2A" w:rsidRPr="006208B8" w:rsidRDefault="006208B8" w:rsidP="006C2B2A">
      <w:pPr>
        <w:tabs>
          <w:tab w:val="left" w:pos="2207"/>
        </w:tabs>
        <w:spacing w:after="100" w:afterAutospacing="1" w:line="240" w:lineRule="atLeast"/>
        <w:jc w:val="center"/>
        <w:rPr>
          <w:rFonts w:ascii="Arial" w:hAnsi="Arial" w:cs="Arial"/>
          <w:sz w:val="36"/>
          <w:szCs w:val="36"/>
        </w:rPr>
      </w:pPr>
      <w:r w:rsidRPr="006208B8">
        <w:rPr>
          <w:rFonts w:ascii="Arial" w:hAnsi="Arial" w:cs="Arial"/>
          <w:sz w:val="36"/>
          <w:szCs w:val="36"/>
        </w:rPr>
        <w:t>S</w:t>
      </w:r>
      <w:r w:rsidR="006C2B2A" w:rsidRPr="006208B8">
        <w:rPr>
          <w:rFonts w:ascii="Arial" w:hAnsi="Arial" w:cs="Arial"/>
          <w:sz w:val="36"/>
          <w:szCs w:val="36"/>
        </w:rPr>
        <w:t>Y15 Designation                                                   Professional Development</w:t>
      </w:r>
    </w:p>
    <w:p w:rsidR="006C2B2A" w:rsidRDefault="007E6E77" w:rsidP="006C2B2A">
      <w:pPr>
        <w:tabs>
          <w:tab w:val="left" w:pos="2207"/>
        </w:tabs>
        <w:spacing w:after="100" w:afterAutospacing="1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Superintendents and Principals working with schools who have receive</w:t>
      </w:r>
      <w:r w:rsidR="006208B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a </w:t>
      </w:r>
      <w:r w:rsidR="007267ED">
        <w:rPr>
          <w:rFonts w:ascii="Arial" w:hAnsi="Arial" w:cs="Arial"/>
          <w:sz w:val="28"/>
          <w:szCs w:val="28"/>
        </w:rPr>
        <w:t>Focus</w:t>
      </w:r>
      <w:r w:rsidR="007F0CD7">
        <w:rPr>
          <w:rFonts w:ascii="Arial" w:hAnsi="Arial" w:cs="Arial"/>
          <w:sz w:val="28"/>
          <w:szCs w:val="28"/>
        </w:rPr>
        <w:t xml:space="preserve"> or Priority Designation </w:t>
      </w:r>
      <w:r w:rsidR="006C2B2A" w:rsidRPr="006C2B2A">
        <w:rPr>
          <w:rFonts w:ascii="Arial" w:hAnsi="Arial" w:cs="Arial"/>
          <w:sz w:val="28"/>
          <w:szCs w:val="28"/>
        </w:rPr>
        <w:t xml:space="preserve">for three or more years are to complete fifteen hours of professional development </w:t>
      </w:r>
      <w:r>
        <w:rPr>
          <w:rFonts w:ascii="Arial" w:hAnsi="Arial" w:cs="Arial"/>
          <w:sz w:val="28"/>
          <w:szCs w:val="28"/>
        </w:rPr>
        <w:t xml:space="preserve">based on the needs of the individual site. </w:t>
      </w:r>
      <w:r w:rsidR="006208B8">
        <w:rPr>
          <w:rFonts w:ascii="Arial" w:hAnsi="Arial" w:cs="Arial"/>
          <w:sz w:val="28"/>
          <w:szCs w:val="28"/>
        </w:rPr>
        <w:t>(ESEA Waiver, 2015)</w:t>
      </w:r>
      <w:r>
        <w:rPr>
          <w:rFonts w:ascii="Arial" w:hAnsi="Arial" w:cs="Arial"/>
          <w:sz w:val="28"/>
          <w:szCs w:val="28"/>
        </w:rPr>
        <w:t xml:space="preserve"> The professional development window is from June 2015 t</w:t>
      </w:r>
      <w:r w:rsidR="006208B8">
        <w:rPr>
          <w:rFonts w:ascii="Arial" w:hAnsi="Arial" w:cs="Arial"/>
          <w:sz w:val="28"/>
          <w:szCs w:val="28"/>
        </w:rPr>
        <w:t xml:space="preserve">o July 2016.  </w:t>
      </w:r>
    </w:p>
    <w:p w:rsidR="006C2B2A" w:rsidRDefault="006C2B2A" w:rsidP="006C2B2A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220"/>
        <w:gridCol w:w="2448"/>
      </w:tblGrid>
      <w:tr w:rsidR="006C2B2A" w:rsidTr="006C2B2A">
        <w:tc>
          <w:tcPr>
            <w:tcW w:w="1908" w:type="dxa"/>
          </w:tcPr>
          <w:p w:rsidR="006C2B2A" w:rsidRPr="006C2B2A" w:rsidRDefault="006C2B2A" w:rsidP="006C2B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B2A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5220" w:type="dxa"/>
          </w:tcPr>
          <w:p w:rsidR="006C2B2A" w:rsidRPr="006C2B2A" w:rsidRDefault="006C2B2A" w:rsidP="006C2B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B2A">
              <w:rPr>
                <w:rFonts w:ascii="Arial" w:hAnsi="Arial" w:cs="Arial"/>
                <w:sz w:val="32"/>
                <w:szCs w:val="32"/>
              </w:rPr>
              <w:t>Professional Development Activity</w:t>
            </w:r>
          </w:p>
        </w:tc>
        <w:tc>
          <w:tcPr>
            <w:tcW w:w="2448" w:type="dxa"/>
          </w:tcPr>
          <w:p w:rsidR="006C2B2A" w:rsidRPr="006C2B2A" w:rsidRDefault="006C2B2A" w:rsidP="006C2B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2B2A">
              <w:rPr>
                <w:rFonts w:ascii="Arial" w:hAnsi="Arial" w:cs="Arial"/>
                <w:sz w:val="32"/>
                <w:szCs w:val="32"/>
              </w:rPr>
              <w:t>Points/Hours</w:t>
            </w:r>
          </w:p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/>
          <w:p w:rsidR="006C2B2A" w:rsidRDefault="006C2B2A"/>
        </w:tc>
        <w:tc>
          <w:tcPr>
            <w:tcW w:w="5220" w:type="dxa"/>
          </w:tcPr>
          <w:p w:rsidR="006C2B2A" w:rsidRDefault="006C2B2A"/>
        </w:tc>
        <w:tc>
          <w:tcPr>
            <w:tcW w:w="2448" w:type="dxa"/>
          </w:tcPr>
          <w:p w:rsidR="006C2B2A" w:rsidRDefault="006C2B2A"/>
        </w:tc>
      </w:tr>
      <w:tr w:rsidR="006C2B2A" w:rsidTr="006C2B2A">
        <w:tc>
          <w:tcPr>
            <w:tcW w:w="1908" w:type="dxa"/>
          </w:tcPr>
          <w:p w:rsidR="006C2B2A" w:rsidRDefault="006C2B2A" w:rsidP="002D1CC2"/>
          <w:p w:rsidR="006C2B2A" w:rsidRDefault="006C2B2A" w:rsidP="002D1CC2"/>
        </w:tc>
        <w:tc>
          <w:tcPr>
            <w:tcW w:w="5220" w:type="dxa"/>
          </w:tcPr>
          <w:p w:rsidR="006C2B2A" w:rsidRDefault="006C2B2A" w:rsidP="002D1CC2"/>
        </w:tc>
        <w:tc>
          <w:tcPr>
            <w:tcW w:w="2448" w:type="dxa"/>
          </w:tcPr>
          <w:p w:rsidR="006C2B2A" w:rsidRDefault="006C2B2A" w:rsidP="002D1CC2"/>
        </w:tc>
      </w:tr>
      <w:tr w:rsidR="006C2B2A" w:rsidTr="006C2B2A">
        <w:tc>
          <w:tcPr>
            <w:tcW w:w="1908" w:type="dxa"/>
          </w:tcPr>
          <w:p w:rsidR="006C2B2A" w:rsidRDefault="006C2B2A" w:rsidP="002D1CC2"/>
          <w:p w:rsidR="006C2B2A" w:rsidRDefault="006C2B2A" w:rsidP="002D1CC2"/>
        </w:tc>
        <w:tc>
          <w:tcPr>
            <w:tcW w:w="5220" w:type="dxa"/>
          </w:tcPr>
          <w:p w:rsidR="006C2B2A" w:rsidRDefault="006C2B2A" w:rsidP="002D1CC2"/>
        </w:tc>
        <w:tc>
          <w:tcPr>
            <w:tcW w:w="2448" w:type="dxa"/>
          </w:tcPr>
          <w:p w:rsidR="006C2B2A" w:rsidRDefault="006C2B2A" w:rsidP="002D1CC2"/>
        </w:tc>
      </w:tr>
      <w:tr w:rsidR="006C2B2A" w:rsidTr="006C2B2A">
        <w:tc>
          <w:tcPr>
            <w:tcW w:w="1908" w:type="dxa"/>
          </w:tcPr>
          <w:p w:rsidR="006C2B2A" w:rsidRDefault="006C2B2A" w:rsidP="002D1CC2"/>
          <w:p w:rsidR="006C2B2A" w:rsidRDefault="006C2B2A" w:rsidP="002D1CC2"/>
        </w:tc>
        <w:tc>
          <w:tcPr>
            <w:tcW w:w="5220" w:type="dxa"/>
          </w:tcPr>
          <w:p w:rsidR="006C2B2A" w:rsidRDefault="006C2B2A" w:rsidP="002D1CC2"/>
        </w:tc>
        <w:tc>
          <w:tcPr>
            <w:tcW w:w="2448" w:type="dxa"/>
          </w:tcPr>
          <w:p w:rsidR="006C2B2A" w:rsidRDefault="006C2B2A" w:rsidP="002D1CC2"/>
        </w:tc>
      </w:tr>
      <w:tr w:rsidR="006C2B2A" w:rsidTr="006C2B2A">
        <w:tc>
          <w:tcPr>
            <w:tcW w:w="1908" w:type="dxa"/>
          </w:tcPr>
          <w:p w:rsidR="006C2B2A" w:rsidRDefault="006C2B2A" w:rsidP="002D1CC2"/>
          <w:p w:rsidR="006C2B2A" w:rsidRDefault="006C2B2A" w:rsidP="002D1CC2"/>
        </w:tc>
        <w:tc>
          <w:tcPr>
            <w:tcW w:w="5220" w:type="dxa"/>
          </w:tcPr>
          <w:p w:rsidR="006C2B2A" w:rsidRDefault="006C2B2A" w:rsidP="002D1CC2"/>
        </w:tc>
        <w:tc>
          <w:tcPr>
            <w:tcW w:w="2448" w:type="dxa"/>
          </w:tcPr>
          <w:p w:rsidR="006C2B2A" w:rsidRDefault="006C2B2A" w:rsidP="002D1CC2"/>
        </w:tc>
      </w:tr>
      <w:tr w:rsidR="006C2B2A" w:rsidTr="006C2B2A">
        <w:tc>
          <w:tcPr>
            <w:tcW w:w="1908" w:type="dxa"/>
          </w:tcPr>
          <w:p w:rsidR="006C2B2A" w:rsidRDefault="006C2B2A" w:rsidP="002D1CC2"/>
          <w:p w:rsidR="006C2B2A" w:rsidRDefault="006C2B2A" w:rsidP="002D1CC2"/>
        </w:tc>
        <w:tc>
          <w:tcPr>
            <w:tcW w:w="5220" w:type="dxa"/>
          </w:tcPr>
          <w:p w:rsidR="006C2B2A" w:rsidRDefault="006C2B2A" w:rsidP="002D1CC2"/>
        </w:tc>
        <w:tc>
          <w:tcPr>
            <w:tcW w:w="2448" w:type="dxa"/>
          </w:tcPr>
          <w:p w:rsidR="006C2B2A" w:rsidRDefault="006C2B2A" w:rsidP="002D1CC2"/>
        </w:tc>
      </w:tr>
      <w:tr w:rsidR="006C2B2A" w:rsidTr="006C2B2A">
        <w:tc>
          <w:tcPr>
            <w:tcW w:w="1908" w:type="dxa"/>
          </w:tcPr>
          <w:p w:rsidR="006C2B2A" w:rsidRDefault="006C2B2A" w:rsidP="002D1CC2"/>
          <w:p w:rsidR="006C2B2A" w:rsidRDefault="006C2B2A" w:rsidP="002D1CC2"/>
        </w:tc>
        <w:tc>
          <w:tcPr>
            <w:tcW w:w="5220" w:type="dxa"/>
          </w:tcPr>
          <w:p w:rsidR="006C2B2A" w:rsidRDefault="006C2B2A" w:rsidP="002D1CC2"/>
        </w:tc>
        <w:tc>
          <w:tcPr>
            <w:tcW w:w="2448" w:type="dxa"/>
          </w:tcPr>
          <w:p w:rsidR="006C2B2A" w:rsidRDefault="006C2B2A" w:rsidP="002D1CC2"/>
        </w:tc>
      </w:tr>
    </w:tbl>
    <w:p w:rsidR="007E6E77" w:rsidRDefault="007E6E77"/>
    <w:p w:rsidR="007E6E77" w:rsidRPr="007E6E77" w:rsidRDefault="007E6E77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7E6E77">
        <w:rPr>
          <w:rFonts w:ascii="Arial" w:hAnsi="Arial" w:cs="Arial"/>
        </w:rPr>
        <w:t xml:space="preserve">At this time, the 2015 </w:t>
      </w:r>
      <w:proofErr w:type="gramStart"/>
      <w:r w:rsidR="006208B8">
        <w:rPr>
          <w:rFonts w:ascii="Arial" w:hAnsi="Arial" w:cs="Arial"/>
        </w:rPr>
        <w:t xml:space="preserve">ESEA </w:t>
      </w:r>
      <w:r w:rsidRPr="007E6E77">
        <w:rPr>
          <w:rFonts w:ascii="Arial" w:hAnsi="Arial" w:cs="Arial"/>
        </w:rPr>
        <w:t xml:space="preserve"> Waiver</w:t>
      </w:r>
      <w:proofErr w:type="gramEnd"/>
      <w:r w:rsidRPr="007E6E77">
        <w:rPr>
          <w:rFonts w:ascii="Arial" w:hAnsi="Arial" w:cs="Arial"/>
        </w:rPr>
        <w:t xml:space="preserve"> does not give flexibility to a superintendent or principal to send a designee to obtain the required fifteen hours</w:t>
      </w:r>
      <w:r w:rsidR="006208B8">
        <w:rPr>
          <w:rFonts w:ascii="Arial" w:hAnsi="Arial" w:cs="Arial"/>
        </w:rPr>
        <w:t xml:space="preserve"> of professional development</w:t>
      </w:r>
      <w:r w:rsidRPr="007E6E77">
        <w:rPr>
          <w:rFonts w:ascii="Arial" w:hAnsi="Arial" w:cs="Arial"/>
        </w:rPr>
        <w:t xml:space="preserve">.  </w:t>
      </w:r>
    </w:p>
    <w:sectPr w:rsidR="007E6E77" w:rsidRPr="007E6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64" w:rsidRDefault="00241B64" w:rsidP="006C2B2A">
      <w:pPr>
        <w:spacing w:after="0" w:line="240" w:lineRule="auto"/>
      </w:pPr>
      <w:r>
        <w:separator/>
      </w:r>
    </w:p>
  </w:endnote>
  <w:endnote w:type="continuationSeparator" w:id="0">
    <w:p w:rsidR="00241B64" w:rsidRDefault="00241B64" w:rsidP="006C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ED" w:rsidRDefault="00726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ED" w:rsidRDefault="00726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ED" w:rsidRDefault="00726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64" w:rsidRDefault="00241B64" w:rsidP="006C2B2A">
      <w:pPr>
        <w:spacing w:after="0" w:line="240" w:lineRule="auto"/>
      </w:pPr>
      <w:r>
        <w:separator/>
      </w:r>
    </w:p>
  </w:footnote>
  <w:footnote w:type="continuationSeparator" w:id="0">
    <w:p w:rsidR="00241B64" w:rsidRDefault="00241B64" w:rsidP="006C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ED" w:rsidRDefault="00726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2A" w:rsidRDefault="006C2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ED" w:rsidRDefault="0072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A"/>
    <w:rsid w:val="00241B64"/>
    <w:rsid w:val="004C630D"/>
    <w:rsid w:val="006208B8"/>
    <w:rsid w:val="006451BF"/>
    <w:rsid w:val="006C2B2A"/>
    <w:rsid w:val="007267ED"/>
    <w:rsid w:val="007E6E77"/>
    <w:rsid w:val="007F0CD7"/>
    <w:rsid w:val="00D67E4E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2A"/>
  </w:style>
  <w:style w:type="paragraph" w:styleId="Footer">
    <w:name w:val="footer"/>
    <w:basedOn w:val="Normal"/>
    <w:link w:val="FooterChar"/>
    <w:uiPriority w:val="99"/>
    <w:unhideWhenUsed/>
    <w:rsid w:val="006C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2A"/>
  </w:style>
  <w:style w:type="paragraph" w:styleId="BalloonText">
    <w:name w:val="Balloon Text"/>
    <w:basedOn w:val="Normal"/>
    <w:link w:val="BalloonTextChar"/>
    <w:uiPriority w:val="99"/>
    <w:semiHidden/>
    <w:unhideWhenUsed/>
    <w:rsid w:val="006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2A"/>
  </w:style>
  <w:style w:type="paragraph" w:styleId="Footer">
    <w:name w:val="footer"/>
    <w:basedOn w:val="Normal"/>
    <w:link w:val="FooterChar"/>
    <w:uiPriority w:val="99"/>
    <w:unhideWhenUsed/>
    <w:rsid w:val="006C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2A"/>
  </w:style>
  <w:style w:type="paragraph" w:styleId="BalloonText">
    <w:name w:val="Balloon Text"/>
    <w:basedOn w:val="Normal"/>
    <w:link w:val="BalloonTextChar"/>
    <w:uiPriority w:val="99"/>
    <w:semiHidden/>
    <w:unhideWhenUsed/>
    <w:rsid w:val="006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E319-99BC-4666-A21B-A13FB5F6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Desarae Witmer</dc:creator>
  <cp:lastModifiedBy>Desarae Witmer</cp:lastModifiedBy>
  <cp:revision>2</cp:revision>
  <dcterms:created xsi:type="dcterms:W3CDTF">2015-09-08T17:43:00Z</dcterms:created>
  <dcterms:modified xsi:type="dcterms:W3CDTF">2015-09-08T17:43:00Z</dcterms:modified>
</cp:coreProperties>
</file>