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73" w:rsidRPr="00373C62" w:rsidRDefault="00440F73">
      <w:pPr>
        <w:rPr>
          <w:b/>
          <w:sz w:val="28"/>
          <w:u w:val="single"/>
        </w:rPr>
      </w:pPr>
      <w:r w:rsidRPr="00373C62">
        <w:rPr>
          <w:b/>
          <w:sz w:val="28"/>
          <w:u w:val="single"/>
        </w:rPr>
        <w:t>Increasing the Academic Calendar and Teacher Compensation</w:t>
      </w:r>
    </w:p>
    <w:p w:rsidR="00440F73" w:rsidRDefault="00440F73" w:rsidP="00440F73">
      <w:pPr>
        <w:jc w:val="left"/>
      </w:pPr>
    </w:p>
    <w:p w:rsidR="00440F73" w:rsidRPr="00440F73" w:rsidRDefault="00440F73" w:rsidP="00440F73">
      <w:pPr>
        <w:jc w:val="left"/>
      </w:pPr>
      <w:r>
        <w:t>Average Teacher Salary (</w:t>
      </w:r>
      <w:r>
        <w:rPr>
          <w:b/>
        </w:rPr>
        <w:t>NEA 2012-13</w:t>
      </w:r>
      <w:r>
        <w:t>)</w:t>
      </w:r>
    </w:p>
    <w:tbl>
      <w:tblPr>
        <w:tblStyle w:val="TableGrid"/>
        <w:tblW w:w="0" w:type="auto"/>
        <w:tblLook w:val="04A0" w:firstRow="1" w:lastRow="0" w:firstColumn="1" w:lastColumn="0" w:noHBand="0" w:noVBand="1"/>
      </w:tblPr>
      <w:tblGrid>
        <w:gridCol w:w="1440"/>
        <w:gridCol w:w="3438"/>
      </w:tblGrid>
      <w:tr w:rsidR="00440F73" w:rsidRPr="00440F73" w:rsidTr="00940459">
        <w:trPr>
          <w:trHeight w:val="383"/>
        </w:trPr>
        <w:tc>
          <w:tcPr>
            <w:tcW w:w="1440" w:type="dxa"/>
            <w:noWrap/>
            <w:hideMark/>
          </w:tcPr>
          <w:p w:rsidR="00440F73" w:rsidRPr="00440F73" w:rsidRDefault="00440F73" w:rsidP="00440F73">
            <w:pPr>
              <w:jc w:val="left"/>
            </w:pPr>
            <w:r w:rsidRPr="00440F73">
              <w:t>Colorado</w:t>
            </w:r>
          </w:p>
        </w:tc>
        <w:tc>
          <w:tcPr>
            <w:tcW w:w="3438" w:type="dxa"/>
            <w:noWrap/>
            <w:hideMark/>
          </w:tcPr>
          <w:p w:rsidR="00440F73" w:rsidRPr="00440F73" w:rsidRDefault="00940459" w:rsidP="00440F73">
            <w:pPr>
              <w:jc w:val="left"/>
            </w:pPr>
            <w:r>
              <w:t xml:space="preserve">$ </w:t>
            </w:r>
            <w:r w:rsidR="00440F73" w:rsidRPr="00440F73">
              <w:t>49,844.00</w:t>
            </w:r>
          </w:p>
        </w:tc>
      </w:tr>
      <w:tr w:rsidR="00440F73" w:rsidRPr="00440F73" w:rsidTr="00940459">
        <w:trPr>
          <w:trHeight w:val="383"/>
        </w:trPr>
        <w:tc>
          <w:tcPr>
            <w:tcW w:w="1440" w:type="dxa"/>
            <w:noWrap/>
            <w:hideMark/>
          </w:tcPr>
          <w:p w:rsidR="00440F73" w:rsidRPr="00440F73" w:rsidRDefault="00440F73" w:rsidP="00440F73">
            <w:pPr>
              <w:jc w:val="left"/>
            </w:pPr>
            <w:r w:rsidRPr="00440F73">
              <w:t>Texas</w:t>
            </w:r>
          </w:p>
        </w:tc>
        <w:tc>
          <w:tcPr>
            <w:tcW w:w="3438" w:type="dxa"/>
            <w:noWrap/>
            <w:hideMark/>
          </w:tcPr>
          <w:p w:rsidR="00440F73" w:rsidRPr="00440F73" w:rsidRDefault="00940459" w:rsidP="00440F73">
            <w:pPr>
              <w:jc w:val="left"/>
            </w:pPr>
            <w:r>
              <w:t xml:space="preserve">$ </w:t>
            </w:r>
            <w:r w:rsidR="00440F73" w:rsidRPr="00440F73">
              <w:t>48,819.00</w:t>
            </w:r>
          </w:p>
        </w:tc>
      </w:tr>
      <w:tr w:rsidR="00440F73" w:rsidRPr="00440F73" w:rsidTr="00940459">
        <w:trPr>
          <w:trHeight w:val="383"/>
        </w:trPr>
        <w:tc>
          <w:tcPr>
            <w:tcW w:w="1440" w:type="dxa"/>
            <w:noWrap/>
            <w:hideMark/>
          </w:tcPr>
          <w:p w:rsidR="00440F73" w:rsidRPr="00440F73" w:rsidRDefault="00440F73" w:rsidP="00440F73">
            <w:pPr>
              <w:jc w:val="left"/>
            </w:pPr>
            <w:r w:rsidRPr="00440F73">
              <w:t>Kansas</w:t>
            </w:r>
          </w:p>
        </w:tc>
        <w:tc>
          <w:tcPr>
            <w:tcW w:w="3438" w:type="dxa"/>
            <w:noWrap/>
            <w:hideMark/>
          </w:tcPr>
          <w:p w:rsidR="00440F73" w:rsidRPr="00440F73" w:rsidRDefault="00940459" w:rsidP="00440F73">
            <w:pPr>
              <w:jc w:val="left"/>
            </w:pPr>
            <w:r>
              <w:t xml:space="preserve">$ </w:t>
            </w:r>
            <w:r w:rsidR="00440F73" w:rsidRPr="00440F73">
              <w:t>47,464.00</w:t>
            </w:r>
          </w:p>
        </w:tc>
      </w:tr>
      <w:tr w:rsidR="00440F73" w:rsidRPr="00440F73" w:rsidTr="00940459">
        <w:trPr>
          <w:trHeight w:val="383"/>
        </w:trPr>
        <w:tc>
          <w:tcPr>
            <w:tcW w:w="1440" w:type="dxa"/>
            <w:noWrap/>
            <w:hideMark/>
          </w:tcPr>
          <w:p w:rsidR="00440F73" w:rsidRPr="00440F73" w:rsidRDefault="00440F73" w:rsidP="00440F73">
            <w:pPr>
              <w:jc w:val="left"/>
            </w:pPr>
            <w:r w:rsidRPr="00440F73">
              <w:t>New Mexico</w:t>
            </w:r>
          </w:p>
        </w:tc>
        <w:tc>
          <w:tcPr>
            <w:tcW w:w="3438" w:type="dxa"/>
            <w:noWrap/>
            <w:hideMark/>
          </w:tcPr>
          <w:p w:rsidR="00440F73" w:rsidRPr="00440F73" w:rsidRDefault="00940459" w:rsidP="00440F73">
            <w:pPr>
              <w:jc w:val="left"/>
            </w:pPr>
            <w:r>
              <w:t xml:space="preserve">$ </w:t>
            </w:r>
            <w:r w:rsidR="00440F73" w:rsidRPr="00440F73">
              <w:t>45,453.00</w:t>
            </w:r>
          </w:p>
        </w:tc>
      </w:tr>
      <w:tr w:rsidR="00440F73" w:rsidRPr="00440F73" w:rsidTr="00940459">
        <w:trPr>
          <w:trHeight w:val="383"/>
        </w:trPr>
        <w:tc>
          <w:tcPr>
            <w:tcW w:w="1440" w:type="dxa"/>
            <w:noWrap/>
            <w:hideMark/>
          </w:tcPr>
          <w:p w:rsidR="00440F73" w:rsidRPr="00440F73" w:rsidRDefault="00440F73" w:rsidP="00440F73">
            <w:pPr>
              <w:jc w:val="left"/>
            </w:pPr>
            <w:r w:rsidRPr="00440F73">
              <w:t>Arkansas</w:t>
            </w:r>
          </w:p>
        </w:tc>
        <w:tc>
          <w:tcPr>
            <w:tcW w:w="3438" w:type="dxa"/>
            <w:noWrap/>
            <w:hideMark/>
          </w:tcPr>
          <w:p w:rsidR="00440F73" w:rsidRPr="00440F73" w:rsidRDefault="00940459" w:rsidP="00440F73">
            <w:pPr>
              <w:jc w:val="left"/>
            </w:pPr>
            <w:r>
              <w:t xml:space="preserve">$ </w:t>
            </w:r>
            <w:r w:rsidR="00440F73" w:rsidRPr="00440F73">
              <w:t>46,631.00</w:t>
            </w:r>
          </w:p>
        </w:tc>
      </w:tr>
      <w:tr w:rsidR="00440F73" w:rsidRPr="00440F73" w:rsidTr="00940459">
        <w:trPr>
          <w:trHeight w:val="383"/>
        </w:trPr>
        <w:tc>
          <w:tcPr>
            <w:tcW w:w="1440" w:type="dxa"/>
            <w:noWrap/>
            <w:hideMark/>
          </w:tcPr>
          <w:p w:rsidR="00440F73" w:rsidRPr="00440F73" w:rsidRDefault="00440F73" w:rsidP="00440F73">
            <w:pPr>
              <w:jc w:val="left"/>
            </w:pPr>
            <w:r w:rsidRPr="00440F73">
              <w:t>Oklahoma</w:t>
            </w:r>
          </w:p>
        </w:tc>
        <w:tc>
          <w:tcPr>
            <w:tcW w:w="3438" w:type="dxa"/>
            <w:noWrap/>
            <w:hideMark/>
          </w:tcPr>
          <w:p w:rsidR="00440F73" w:rsidRPr="00440F73" w:rsidRDefault="00940459" w:rsidP="00940459">
            <w:pPr>
              <w:jc w:val="left"/>
            </w:pPr>
            <w:r>
              <w:t xml:space="preserve">$ </w:t>
            </w:r>
            <w:r w:rsidR="00440F73" w:rsidRPr="00440F73">
              <w:t>44,373.00</w:t>
            </w:r>
            <w:r>
              <w:t xml:space="preserve"> ($ 246.52 DAILY RATE)</w:t>
            </w:r>
          </w:p>
        </w:tc>
      </w:tr>
      <w:tr w:rsidR="00440F73" w:rsidRPr="00440F73" w:rsidTr="00940459">
        <w:trPr>
          <w:trHeight w:val="383"/>
        </w:trPr>
        <w:tc>
          <w:tcPr>
            <w:tcW w:w="1440" w:type="dxa"/>
            <w:noWrap/>
            <w:hideMark/>
          </w:tcPr>
          <w:p w:rsidR="00440F73" w:rsidRPr="00440F73" w:rsidRDefault="00440F73" w:rsidP="00440F73">
            <w:pPr>
              <w:jc w:val="left"/>
            </w:pPr>
            <w:r w:rsidRPr="00440F73">
              <w:t>Missouri</w:t>
            </w:r>
          </w:p>
        </w:tc>
        <w:tc>
          <w:tcPr>
            <w:tcW w:w="3438" w:type="dxa"/>
            <w:noWrap/>
            <w:hideMark/>
          </w:tcPr>
          <w:p w:rsidR="00440F73" w:rsidRPr="00440F73" w:rsidRDefault="00940459" w:rsidP="00440F73">
            <w:pPr>
              <w:jc w:val="left"/>
            </w:pPr>
            <w:r>
              <w:t xml:space="preserve">$ </w:t>
            </w:r>
            <w:r w:rsidR="00440F73" w:rsidRPr="00440F73">
              <w:t>47,517.00</w:t>
            </w:r>
          </w:p>
        </w:tc>
      </w:tr>
      <w:tr w:rsidR="00440F73" w:rsidRPr="00440F73" w:rsidTr="00940459">
        <w:trPr>
          <w:trHeight w:val="383"/>
        </w:trPr>
        <w:tc>
          <w:tcPr>
            <w:tcW w:w="1440" w:type="dxa"/>
            <w:noWrap/>
            <w:hideMark/>
          </w:tcPr>
          <w:p w:rsidR="00440F73" w:rsidRPr="00440F73" w:rsidRDefault="00440F73" w:rsidP="00440F73">
            <w:pPr>
              <w:jc w:val="left"/>
              <w:rPr>
                <w:b/>
                <w:bCs/>
              </w:rPr>
            </w:pPr>
            <w:r w:rsidRPr="00440F73">
              <w:rPr>
                <w:b/>
                <w:bCs/>
              </w:rPr>
              <w:t>Average</w:t>
            </w:r>
          </w:p>
        </w:tc>
        <w:tc>
          <w:tcPr>
            <w:tcW w:w="3438" w:type="dxa"/>
            <w:noWrap/>
            <w:hideMark/>
          </w:tcPr>
          <w:p w:rsidR="00440F73" w:rsidRPr="00440F73" w:rsidRDefault="00940459" w:rsidP="00440F73">
            <w:pPr>
              <w:jc w:val="left"/>
              <w:rPr>
                <w:b/>
                <w:bCs/>
              </w:rPr>
            </w:pPr>
            <w:r>
              <w:rPr>
                <w:b/>
                <w:bCs/>
              </w:rPr>
              <w:t xml:space="preserve">$ </w:t>
            </w:r>
            <w:r w:rsidR="00440F73" w:rsidRPr="00440F73">
              <w:rPr>
                <w:b/>
                <w:bCs/>
              </w:rPr>
              <w:t>47,621.33</w:t>
            </w:r>
          </w:p>
        </w:tc>
      </w:tr>
    </w:tbl>
    <w:p w:rsidR="008D61F2" w:rsidRDefault="00EC7C78" w:rsidP="00440F73">
      <w:pPr>
        <w:jc w:val="left"/>
      </w:pPr>
    </w:p>
    <w:p w:rsidR="00440F73" w:rsidRDefault="00440F73" w:rsidP="00440F73">
      <w:pPr>
        <w:jc w:val="left"/>
      </w:pPr>
      <w:r>
        <w:t>Oklahoma teachers currently make $3,248.33 less per year than teachers from other states in our region.  In order to recruit and retain top teaching talent in Oklahoma, we must have a plan to extend our school year while raising teacher pay.</w:t>
      </w:r>
    </w:p>
    <w:p w:rsidR="00440F73" w:rsidRDefault="00440F73" w:rsidP="00440F73">
      <w:pPr>
        <w:jc w:val="left"/>
      </w:pPr>
    </w:p>
    <w:tbl>
      <w:tblPr>
        <w:tblStyle w:val="TableGrid"/>
        <w:tblW w:w="9877" w:type="dxa"/>
        <w:tblLook w:val="04A0" w:firstRow="1" w:lastRow="0" w:firstColumn="1" w:lastColumn="0" w:noHBand="0" w:noVBand="1"/>
      </w:tblPr>
      <w:tblGrid>
        <w:gridCol w:w="1088"/>
        <w:gridCol w:w="1264"/>
        <w:gridCol w:w="1320"/>
        <w:gridCol w:w="1135"/>
        <w:gridCol w:w="1338"/>
        <w:gridCol w:w="1764"/>
        <w:gridCol w:w="1968"/>
      </w:tblGrid>
      <w:tr w:rsidR="000807EE" w:rsidTr="000807EE">
        <w:trPr>
          <w:trHeight w:val="363"/>
        </w:trPr>
        <w:tc>
          <w:tcPr>
            <w:tcW w:w="1088" w:type="dxa"/>
          </w:tcPr>
          <w:p w:rsidR="00DD531F" w:rsidRPr="00440F73" w:rsidRDefault="00DD531F" w:rsidP="00440F73">
            <w:pPr>
              <w:jc w:val="left"/>
              <w:rPr>
                <w:b/>
              </w:rPr>
            </w:pPr>
            <w:r>
              <w:rPr>
                <w:b/>
              </w:rPr>
              <w:t>YEAR</w:t>
            </w:r>
          </w:p>
        </w:tc>
        <w:tc>
          <w:tcPr>
            <w:tcW w:w="1264" w:type="dxa"/>
          </w:tcPr>
          <w:p w:rsidR="00DD531F" w:rsidRPr="00440F73" w:rsidRDefault="00DD531F" w:rsidP="00440F73">
            <w:pPr>
              <w:jc w:val="left"/>
              <w:rPr>
                <w:b/>
              </w:rPr>
            </w:pPr>
            <w:r>
              <w:rPr>
                <w:b/>
              </w:rPr>
              <w:t>RAISE</w:t>
            </w:r>
          </w:p>
        </w:tc>
        <w:tc>
          <w:tcPr>
            <w:tcW w:w="1320" w:type="dxa"/>
          </w:tcPr>
          <w:p w:rsidR="00DD531F" w:rsidRPr="00DD531F" w:rsidRDefault="000807EE" w:rsidP="00440F73">
            <w:pPr>
              <w:jc w:val="left"/>
              <w:rPr>
                <w:b/>
              </w:rPr>
            </w:pPr>
            <w:r>
              <w:rPr>
                <w:b/>
              </w:rPr>
              <w:t xml:space="preserve">AVERAGE TEACHER </w:t>
            </w:r>
            <w:r w:rsidR="00DD531F">
              <w:rPr>
                <w:b/>
              </w:rPr>
              <w:t>SALARY</w:t>
            </w:r>
          </w:p>
        </w:tc>
        <w:tc>
          <w:tcPr>
            <w:tcW w:w="1135" w:type="dxa"/>
          </w:tcPr>
          <w:p w:rsidR="00DD531F" w:rsidRPr="00440F73" w:rsidRDefault="000807EE" w:rsidP="00DD531F">
            <w:pPr>
              <w:jc w:val="left"/>
              <w:rPr>
                <w:b/>
              </w:rPr>
            </w:pPr>
            <w:r>
              <w:rPr>
                <w:b/>
              </w:rPr>
              <w:t xml:space="preserve">AVERAGE </w:t>
            </w:r>
            <w:r w:rsidR="00DD531F">
              <w:rPr>
                <w:b/>
              </w:rPr>
              <w:t>DAILY RATE</w:t>
            </w:r>
          </w:p>
        </w:tc>
        <w:tc>
          <w:tcPr>
            <w:tcW w:w="1338" w:type="dxa"/>
          </w:tcPr>
          <w:p w:rsidR="00DD531F" w:rsidRPr="00440F73" w:rsidRDefault="00DD531F" w:rsidP="00440F73">
            <w:pPr>
              <w:jc w:val="left"/>
              <w:rPr>
                <w:b/>
              </w:rPr>
            </w:pPr>
            <w:r>
              <w:rPr>
                <w:b/>
              </w:rPr>
              <w:t>ADDED DAY</w:t>
            </w:r>
          </w:p>
        </w:tc>
        <w:tc>
          <w:tcPr>
            <w:tcW w:w="1764" w:type="dxa"/>
          </w:tcPr>
          <w:p w:rsidR="00DD531F" w:rsidRDefault="00DD531F" w:rsidP="00440F73">
            <w:pPr>
              <w:jc w:val="left"/>
              <w:rPr>
                <w:b/>
              </w:rPr>
            </w:pPr>
            <w:r>
              <w:rPr>
                <w:b/>
              </w:rPr>
              <w:t xml:space="preserve">TOTAL </w:t>
            </w:r>
            <w:r w:rsidR="000807EE">
              <w:rPr>
                <w:b/>
              </w:rPr>
              <w:t xml:space="preserve">AVERAGE TEACHER </w:t>
            </w:r>
            <w:r>
              <w:rPr>
                <w:b/>
              </w:rPr>
              <w:t>COMP</w:t>
            </w:r>
            <w:r w:rsidR="000807EE">
              <w:rPr>
                <w:b/>
              </w:rPr>
              <w:t>ENSATION</w:t>
            </w:r>
          </w:p>
        </w:tc>
        <w:tc>
          <w:tcPr>
            <w:tcW w:w="1968" w:type="dxa"/>
          </w:tcPr>
          <w:p w:rsidR="00DD531F" w:rsidRDefault="00DD531F" w:rsidP="000807EE">
            <w:pPr>
              <w:jc w:val="left"/>
              <w:rPr>
                <w:b/>
              </w:rPr>
            </w:pPr>
            <w:r>
              <w:rPr>
                <w:b/>
              </w:rPr>
              <w:t>TOTAL COST</w:t>
            </w:r>
            <w:r w:rsidR="000807EE">
              <w:rPr>
                <w:b/>
              </w:rPr>
              <w:t xml:space="preserve"> FOR TEACHER PAY &amp; ADDING DAYS</w:t>
            </w:r>
          </w:p>
        </w:tc>
      </w:tr>
      <w:tr w:rsidR="000807EE" w:rsidTr="000807EE">
        <w:trPr>
          <w:trHeight w:val="406"/>
        </w:trPr>
        <w:tc>
          <w:tcPr>
            <w:tcW w:w="1088" w:type="dxa"/>
          </w:tcPr>
          <w:p w:rsidR="00940459" w:rsidRDefault="00940459" w:rsidP="00440F73">
            <w:pPr>
              <w:jc w:val="left"/>
            </w:pPr>
            <w:r>
              <w:t>2014-15</w:t>
            </w:r>
          </w:p>
        </w:tc>
        <w:tc>
          <w:tcPr>
            <w:tcW w:w="1264" w:type="dxa"/>
          </w:tcPr>
          <w:p w:rsidR="00940459" w:rsidRDefault="00940459" w:rsidP="00440F73">
            <w:pPr>
              <w:jc w:val="left"/>
            </w:pPr>
            <w:r>
              <w:t>$        0.00</w:t>
            </w:r>
          </w:p>
        </w:tc>
        <w:tc>
          <w:tcPr>
            <w:tcW w:w="1320" w:type="dxa"/>
          </w:tcPr>
          <w:p w:rsidR="00940459" w:rsidRDefault="00940459" w:rsidP="00440F73">
            <w:pPr>
              <w:jc w:val="left"/>
            </w:pPr>
            <w:r>
              <w:t>$ 44,373.00</w:t>
            </w:r>
          </w:p>
        </w:tc>
        <w:tc>
          <w:tcPr>
            <w:tcW w:w="1135" w:type="dxa"/>
          </w:tcPr>
          <w:p w:rsidR="00940459" w:rsidRDefault="00940459" w:rsidP="00440F73">
            <w:pPr>
              <w:jc w:val="left"/>
            </w:pPr>
            <w:r>
              <w:t>$ 246.52</w:t>
            </w:r>
          </w:p>
        </w:tc>
        <w:tc>
          <w:tcPr>
            <w:tcW w:w="1338" w:type="dxa"/>
          </w:tcPr>
          <w:p w:rsidR="00940459" w:rsidRDefault="00940459" w:rsidP="00440F73">
            <w:pPr>
              <w:jc w:val="left"/>
            </w:pPr>
            <w:r>
              <w:t>N/A</w:t>
            </w:r>
          </w:p>
        </w:tc>
        <w:tc>
          <w:tcPr>
            <w:tcW w:w="1764" w:type="dxa"/>
          </w:tcPr>
          <w:p w:rsidR="00940459" w:rsidRDefault="00940459" w:rsidP="00440F73">
            <w:pPr>
              <w:jc w:val="left"/>
            </w:pPr>
            <w:r>
              <w:t>$ 44,373.00</w:t>
            </w:r>
          </w:p>
        </w:tc>
        <w:tc>
          <w:tcPr>
            <w:tcW w:w="1968" w:type="dxa"/>
          </w:tcPr>
          <w:p w:rsidR="00940459" w:rsidRDefault="00940459" w:rsidP="00440F73">
            <w:pPr>
              <w:jc w:val="left"/>
            </w:pPr>
            <w:r>
              <w:t>N/A</w:t>
            </w:r>
          </w:p>
        </w:tc>
      </w:tr>
      <w:tr w:rsidR="000807EE" w:rsidTr="000807EE">
        <w:trPr>
          <w:trHeight w:val="406"/>
        </w:trPr>
        <w:tc>
          <w:tcPr>
            <w:tcW w:w="1088" w:type="dxa"/>
          </w:tcPr>
          <w:p w:rsidR="00DD531F" w:rsidRDefault="00DD531F" w:rsidP="00440F73">
            <w:pPr>
              <w:jc w:val="left"/>
            </w:pPr>
            <w:r>
              <w:t xml:space="preserve">2015-16 </w:t>
            </w:r>
          </w:p>
        </w:tc>
        <w:tc>
          <w:tcPr>
            <w:tcW w:w="1264" w:type="dxa"/>
          </w:tcPr>
          <w:p w:rsidR="00DD531F" w:rsidRDefault="00AB0AC5" w:rsidP="00440F73">
            <w:pPr>
              <w:jc w:val="left"/>
            </w:pPr>
            <w:r>
              <w:t>$ 2</w:t>
            </w:r>
            <w:r w:rsidR="00DD531F">
              <w:t>,000.00</w:t>
            </w:r>
          </w:p>
        </w:tc>
        <w:tc>
          <w:tcPr>
            <w:tcW w:w="1320" w:type="dxa"/>
          </w:tcPr>
          <w:p w:rsidR="00DD531F" w:rsidRDefault="00AB0AC5" w:rsidP="00440F73">
            <w:pPr>
              <w:jc w:val="left"/>
            </w:pPr>
            <w:r>
              <w:t>$ 46</w:t>
            </w:r>
            <w:r w:rsidR="00DD531F">
              <w:t>,373.00</w:t>
            </w:r>
          </w:p>
        </w:tc>
        <w:tc>
          <w:tcPr>
            <w:tcW w:w="1135" w:type="dxa"/>
          </w:tcPr>
          <w:p w:rsidR="00DD531F" w:rsidRDefault="00C33C82" w:rsidP="00440F73">
            <w:pPr>
              <w:jc w:val="left"/>
            </w:pPr>
            <w:r>
              <w:t>$</w:t>
            </w:r>
            <w:r w:rsidR="000807EE">
              <w:t xml:space="preserve"> 257.63</w:t>
            </w:r>
          </w:p>
        </w:tc>
        <w:tc>
          <w:tcPr>
            <w:tcW w:w="1338" w:type="dxa"/>
          </w:tcPr>
          <w:p w:rsidR="00DD531F" w:rsidRDefault="00AB0AC5" w:rsidP="00AB0AC5">
            <w:pPr>
              <w:jc w:val="left"/>
            </w:pPr>
            <w:r>
              <w:t>Yes 2 days</w:t>
            </w:r>
            <w:r w:rsidR="00DD531F">
              <w:t xml:space="preserve"> (18</w:t>
            </w:r>
            <w:r>
              <w:t>2</w:t>
            </w:r>
            <w:r w:rsidR="00DD531F">
              <w:t>)</w:t>
            </w:r>
          </w:p>
        </w:tc>
        <w:tc>
          <w:tcPr>
            <w:tcW w:w="1764" w:type="dxa"/>
          </w:tcPr>
          <w:p w:rsidR="00DD531F" w:rsidRDefault="000807EE" w:rsidP="000807EE">
            <w:pPr>
              <w:jc w:val="left"/>
            </w:pPr>
            <w:r>
              <w:t>$ 46,888</w:t>
            </w:r>
            <w:r w:rsidR="00AB0AC5">
              <w:t>.</w:t>
            </w:r>
            <w:r>
              <w:t>2</w:t>
            </w:r>
            <w:r w:rsidR="00C33C82">
              <w:t>6</w:t>
            </w:r>
          </w:p>
        </w:tc>
        <w:tc>
          <w:tcPr>
            <w:tcW w:w="1968" w:type="dxa"/>
          </w:tcPr>
          <w:p w:rsidR="00DD531F" w:rsidRDefault="00AB0AC5" w:rsidP="00440F73">
            <w:pPr>
              <w:jc w:val="left"/>
            </w:pPr>
            <w:r>
              <w:t>$   150</w:t>
            </w:r>
            <w:r w:rsidR="00DD531F">
              <w:t>,000,000.00</w:t>
            </w:r>
          </w:p>
        </w:tc>
      </w:tr>
      <w:tr w:rsidR="000807EE" w:rsidTr="000807EE">
        <w:trPr>
          <w:trHeight w:val="383"/>
        </w:trPr>
        <w:tc>
          <w:tcPr>
            <w:tcW w:w="1088" w:type="dxa"/>
          </w:tcPr>
          <w:p w:rsidR="00DD531F" w:rsidRDefault="00DD531F" w:rsidP="00440F73">
            <w:pPr>
              <w:jc w:val="left"/>
            </w:pPr>
            <w:r>
              <w:t>2016-17</w:t>
            </w:r>
          </w:p>
        </w:tc>
        <w:tc>
          <w:tcPr>
            <w:tcW w:w="1264" w:type="dxa"/>
          </w:tcPr>
          <w:p w:rsidR="00DD531F" w:rsidRDefault="00DD531F" w:rsidP="00440F73">
            <w:pPr>
              <w:jc w:val="left"/>
            </w:pPr>
            <w:r>
              <w:t>$    500.00</w:t>
            </w:r>
          </w:p>
        </w:tc>
        <w:tc>
          <w:tcPr>
            <w:tcW w:w="1320" w:type="dxa"/>
          </w:tcPr>
          <w:p w:rsidR="00DD531F" w:rsidRDefault="00DD531F" w:rsidP="000807EE">
            <w:pPr>
              <w:jc w:val="left"/>
            </w:pPr>
            <w:r>
              <w:t xml:space="preserve">$ </w:t>
            </w:r>
            <w:r w:rsidR="00C33C82">
              <w:t>47,38</w:t>
            </w:r>
            <w:r w:rsidR="000807EE">
              <w:t>8</w:t>
            </w:r>
            <w:r w:rsidR="00C33C82">
              <w:t>.</w:t>
            </w:r>
            <w:r w:rsidR="000807EE">
              <w:t>2</w:t>
            </w:r>
            <w:r w:rsidR="00C33C82">
              <w:t>6</w:t>
            </w:r>
          </w:p>
        </w:tc>
        <w:tc>
          <w:tcPr>
            <w:tcW w:w="1135" w:type="dxa"/>
          </w:tcPr>
          <w:p w:rsidR="00DD531F" w:rsidRDefault="000807EE" w:rsidP="00440F73">
            <w:pPr>
              <w:jc w:val="left"/>
            </w:pPr>
            <w:r>
              <w:t>$ 260.38</w:t>
            </w:r>
          </w:p>
        </w:tc>
        <w:tc>
          <w:tcPr>
            <w:tcW w:w="1338" w:type="dxa"/>
          </w:tcPr>
          <w:p w:rsidR="00DD531F" w:rsidRDefault="00DD531F" w:rsidP="00AB0AC5">
            <w:pPr>
              <w:jc w:val="left"/>
            </w:pPr>
            <w:r>
              <w:t>Yes (18</w:t>
            </w:r>
            <w:r w:rsidR="00AB0AC5">
              <w:t>3</w:t>
            </w:r>
            <w:r>
              <w:t>)</w:t>
            </w:r>
          </w:p>
        </w:tc>
        <w:tc>
          <w:tcPr>
            <w:tcW w:w="1764" w:type="dxa"/>
          </w:tcPr>
          <w:p w:rsidR="00DD531F" w:rsidRDefault="00940459" w:rsidP="00AB0AC5">
            <w:pPr>
              <w:jc w:val="left"/>
            </w:pPr>
            <w:r>
              <w:t xml:space="preserve">$ </w:t>
            </w:r>
            <w:r w:rsidR="000807EE">
              <w:t>47,648.64</w:t>
            </w:r>
          </w:p>
        </w:tc>
        <w:tc>
          <w:tcPr>
            <w:tcW w:w="1968" w:type="dxa"/>
          </w:tcPr>
          <w:p w:rsidR="00DD531F" w:rsidRDefault="00DD531F" w:rsidP="00AB0AC5">
            <w:pPr>
              <w:jc w:val="left"/>
            </w:pPr>
            <w:r>
              <w:t xml:space="preserve">$   </w:t>
            </w:r>
            <w:r w:rsidR="00AB0AC5">
              <w:t xml:space="preserve">  60</w:t>
            </w:r>
            <w:r>
              <w:t>,000,000.00</w:t>
            </w:r>
          </w:p>
        </w:tc>
      </w:tr>
      <w:tr w:rsidR="000807EE" w:rsidTr="000807EE">
        <w:trPr>
          <w:trHeight w:val="406"/>
        </w:trPr>
        <w:tc>
          <w:tcPr>
            <w:tcW w:w="1088" w:type="dxa"/>
          </w:tcPr>
          <w:p w:rsidR="00DD531F" w:rsidRDefault="00DD531F" w:rsidP="00440F73">
            <w:pPr>
              <w:jc w:val="left"/>
            </w:pPr>
            <w:r>
              <w:t>2017-18</w:t>
            </w:r>
          </w:p>
        </w:tc>
        <w:tc>
          <w:tcPr>
            <w:tcW w:w="1264" w:type="dxa"/>
          </w:tcPr>
          <w:p w:rsidR="00DD531F" w:rsidRDefault="00DD531F" w:rsidP="00440F73">
            <w:pPr>
              <w:jc w:val="left"/>
            </w:pPr>
            <w:r>
              <w:t>$    500.00</w:t>
            </w:r>
          </w:p>
        </w:tc>
        <w:tc>
          <w:tcPr>
            <w:tcW w:w="1320" w:type="dxa"/>
          </w:tcPr>
          <w:p w:rsidR="00DD531F" w:rsidRDefault="000807EE" w:rsidP="00AB0AC5">
            <w:pPr>
              <w:jc w:val="left"/>
            </w:pPr>
            <w:r>
              <w:t>$ 48,148.64</w:t>
            </w:r>
          </w:p>
        </w:tc>
        <w:tc>
          <w:tcPr>
            <w:tcW w:w="1135" w:type="dxa"/>
          </w:tcPr>
          <w:p w:rsidR="00DD531F" w:rsidRDefault="000807EE" w:rsidP="00440F73">
            <w:pPr>
              <w:jc w:val="left"/>
            </w:pPr>
            <w:r>
              <w:t>$ 263.11</w:t>
            </w:r>
          </w:p>
        </w:tc>
        <w:tc>
          <w:tcPr>
            <w:tcW w:w="1338" w:type="dxa"/>
          </w:tcPr>
          <w:p w:rsidR="00DD531F" w:rsidRDefault="00DD531F" w:rsidP="00AB0AC5">
            <w:pPr>
              <w:jc w:val="left"/>
            </w:pPr>
            <w:r>
              <w:t>Yes (18</w:t>
            </w:r>
            <w:r w:rsidR="00AB0AC5">
              <w:t>4</w:t>
            </w:r>
            <w:r>
              <w:t>)</w:t>
            </w:r>
          </w:p>
        </w:tc>
        <w:tc>
          <w:tcPr>
            <w:tcW w:w="1764" w:type="dxa"/>
          </w:tcPr>
          <w:p w:rsidR="00DD531F" w:rsidRDefault="00940459" w:rsidP="00AB0AC5">
            <w:pPr>
              <w:jc w:val="left"/>
            </w:pPr>
            <w:r>
              <w:t>$ 4</w:t>
            </w:r>
            <w:r w:rsidR="000807EE">
              <w:t>8,411.75</w:t>
            </w:r>
          </w:p>
        </w:tc>
        <w:tc>
          <w:tcPr>
            <w:tcW w:w="1968" w:type="dxa"/>
          </w:tcPr>
          <w:p w:rsidR="00DD531F" w:rsidRDefault="00DD531F" w:rsidP="00AB0AC5">
            <w:pPr>
              <w:jc w:val="left"/>
            </w:pPr>
            <w:r>
              <w:t xml:space="preserve">$   </w:t>
            </w:r>
            <w:r w:rsidR="00AB0AC5">
              <w:t xml:space="preserve">  60,0</w:t>
            </w:r>
            <w:r>
              <w:t>00,000.00</w:t>
            </w:r>
          </w:p>
        </w:tc>
      </w:tr>
      <w:tr w:rsidR="000807EE" w:rsidTr="000807EE">
        <w:trPr>
          <w:trHeight w:val="383"/>
        </w:trPr>
        <w:tc>
          <w:tcPr>
            <w:tcW w:w="1088" w:type="dxa"/>
          </w:tcPr>
          <w:p w:rsidR="00DD531F" w:rsidRDefault="00DD531F" w:rsidP="00440F73">
            <w:pPr>
              <w:jc w:val="left"/>
            </w:pPr>
            <w:r>
              <w:t>2018-19</w:t>
            </w:r>
          </w:p>
        </w:tc>
        <w:tc>
          <w:tcPr>
            <w:tcW w:w="1264" w:type="dxa"/>
          </w:tcPr>
          <w:p w:rsidR="00DD531F" w:rsidRDefault="00DD531F" w:rsidP="00440F73">
            <w:pPr>
              <w:jc w:val="left"/>
            </w:pPr>
            <w:r>
              <w:t>$    500.00</w:t>
            </w:r>
          </w:p>
        </w:tc>
        <w:tc>
          <w:tcPr>
            <w:tcW w:w="1320" w:type="dxa"/>
          </w:tcPr>
          <w:p w:rsidR="00DD531F" w:rsidRDefault="00DD531F" w:rsidP="00AB0AC5">
            <w:pPr>
              <w:jc w:val="left"/>
            </w:pPr>
            <w:r>
              <w:t xml:space="preserve">$ </w:t>
            </w:r>
            <w:r w:rsidR="00940459">
              <w:t>4</w:t>
            </w:r>
            <w:r w:rsidR="00AB0AC5">
              <w:t>8</w:t>
            </w:r>
            <w:r w:rsidR="00940459">
              <w:t>,</w:t>
            </w:r>
            <w:r w:rsidR="000807EE">
              <w:t>911.75</w:t>
            </w:r>
          </w:p>
        </w:tc>
        <w:tc>
          <w:tcPr>
            <w:tcW w:w="1135" w:type="dxa"/>
          </w:tcPr>
          <w:p w:rsidR="00DD531F" w:rsidRDefault="00DD531F" w:rsidP="00440F73">
            <w:pPr>
              <w:jc w:val="left"/>
            </w:pPr>
            <w:r>
              <w:t>$ 2</w:t>
            </w:r>
            <w:r w:rsidR="000807EE">
              <w:t>65.82</w:t>
            </w:r>
          </w:p>
        </w:tc>
        <w:tc>
          <w:tcPr>
            <w:tcW w:w="1338" w:type="dxa"/>
          </w:tcPr>
          <w:p w:rsidR="00DD531F" w:rsidRDefault="00DD531F" w:rsidP="00AB0AC5">
            <w:pPr>
              <w:jc w:val="left"/>
            </w:pPr>
            <w:r>
              <w:t>Yes (18</w:t>
            </w:r>
            <w:r w:rsidR="00AB0AC5">
              <w:t>5</w:t>
            </w:r>
            <w:r>
              <w:t>)</w:t>
            </w:r>
          </w:p>
        </w:tc>
        <w:tc>
          <w:tcPr>
            <w:tcW w:w="1764" w:type="dxa"/>
          </w:tcPr>
          <w:p w:rsidR="00DD531F" w:rsidRDefault="00940459" w:rsidP="00AB0AC5">
            <w:pPr>
              <w:jc w:val="left"/>
            </w:pPr>
            <w:r>
              <w:t xml:space="preserve">$ </w:t>
            </w:r>
            <w:r w:rsidR="000807EE">
              <w:t>49,177.57</w:t>
            </w:r>
          </w:p>
        </w:tc>
        <w:tc>
          <w:tcPr>
            <w:tcW w:w="1968" w:type="dxa"/>
          </w:tcPr>
          <w:p w:rsidR="00DD531F" w:rsidRDefault="00DD531F" w:rsidP="00440F73">
            <w:pPr>
              <w:jc w:val="left"/>
            </w:pPr>
            <w:r>
              <w:t xml:space="preserve">$   </w:t>
            </w:r>
            <w:r w:rsidR="00AB0AC5">
              <w:t xml:space="preserve">  60,0</w:t>
            </w:r>
            <w:r>
              <w:t>00,000.00</w:t>
            </w:r>
          </w:p>
        </w:tc>
      </w:tr>
      <w:tr w:rsidR="000807EE" w:rsidTr="000807EE">
        <w:trPr>
          <w:trHeight w:val="406"/>
        </w:trPr>
        <w:tc>
          <w:tcPr>
            <w:tcW w:w="1088" w:type="dxa"/>
          </w:tcPr>
          <w:p w:rsidR="000807EE" w:rsidRPr="000807EE" w:rsidRDefault="000807EE" w:rsidP="00440F73">
            <w:pPr>
              <w:jc w:val="left"/>
            </w:pPr>
            <w:r>
              <w:t>2019-20</w:t>
            </w:r>
          </w:p>
        </w:tc>
        <w:tc>
          <w:tcPr>
            <w:tcW w:w="1264" w:type="dxa"/>
          </w:tcPr>
          <w:p w:rsidR="000807EE" w:rsidRDefault="000807EE" w:rsidP="00940459">
            <w:pPr>
              <w:jc w:val="left"/>
            </w:pPr>
            <w:r>
              <w:t>$    500.00</w:t>
            </w:r>
          </w:p>
        </w:tc>
        <w:tc>
          <w:tcPr>
            <w:tcW w:w="1320" w:type="dxa"/>
          </w:tcPr>
          <w:p w:rsidR="000807EE" w:rsidRDefault="000807EE" w:rsidP="0054054C">
            <w:pPr>
              <w:jc w:val="left"/>
            </w:pPr>
            <w:r>
              <w:t>$ 49,677.57</w:t>
            </w:r>
          </w:p>
        </w:tc>
        <w:tc>
          <w:tcPr>
            <w:tcW w:w="1135" w:type="dxa"/>
          </w:tcPr>
          <w:p w:rsidR="000807EE" w:rsidRDefault="000807EE" w:rsidP="00440F73">
            <w:pPr>
              <w:jc w:val="left"/>
            </w:pPr>
            <w:r>
              <w:t>$ 268.53</w:t>
            </w:r>
          </w:p>
        </w:tc>
        <w:tc>
          <w:tcPr>
            <w:tcW w:w="1338" w:type="dxa"/>
          </w:tcPr>
          <w:p w:rsidR="000807EE" w:rsidRDefault="000807EE" w:rsidP="00DD531F">
            <w:pPr>
              <w:jc w:val="left"/>
            </w:pPr>
            <w:r>
              <w:t>No (185)</w:t>
            </w:r>
          </w:p>
        </w:tc>
        <w:tc>
          <w:tcPr>
            <w:tcW w:w="1764" w:type="dxa"/>
          </w:tcPr>
          <w:p w:rsidR="000807EE" w:rsidRDefault="000807EE" w:rsidP="00940459">
            <w:pPr>
              <w:jc w:val="left"/>
            </w:pPr>
            <w:r>
              <w:t>$ 49,677.57</w:t>
            </w:r>
          </w:p>
        </w:tc>
        <w:tc>
          <w:tcPr>
            <w:tcW w:w="1968" w:type="dxa"/>
          </w:tcPr>
          <w:p w:rsidR="000807EE" w:rsidRDefault="000807EE" w:rsidP="00440F73">
            <w:pPr>
              <w:jc w:val="left"/>
            </w:pPr>
            <w:r>
              <w:t>$     32,000,000.00</w:t>
            </w:r>
          </w:p>
        </w:tc>
      </w:tr>
      <w:tr w:rsidR="000807EE" w:rsidTr="000807EE">
        <w:trPr>
          <w:trHeight w:val="406"/>
        </w:trPr>
        <w:tc>
          <w:tcPr>
            <w:tcW w:w="1088" w:type="dxa"/>
          </w:tcPr>
          <w:p w:rsidR="00DD531F" w:rsidRPr="00440F73" w:rsidRDefault="00DD531F" w:rsidP="00440F73">
            <w:pPr>
              <w:jc w:val="left"/>
              <w:rPr>
                <w:b/>
              </w:rPr>
            </w:pPr>
            <w:r w:rsidRPr="00440F73">
              <w:rPr>
                <w:b/>
              </w:rPr>
              <w:t>TOTALS</w:t>
            </w:r>
          </w:p>
        </w:tc>
        <w:tc>
          <w:tcPr>
            <w:tcW w:w="1264" w:type="dxa"/>
          </w:tcPr>
          <w:p w:rsidR="00DD531F" w:rsidRDefault="00DD531F" w:rsidP="00940459">
            <w:pPr>
              <w:jc w:val="left"/>
            </w:pPr>
            <w:r>
              <w:t xml:space="preserve">$ </w:t>
            </w:r>
            <w:r w:rsidR="000807EE">
              <w:t>4,0</w:t>
            </w:r>
            <w:r w:rsidR="00940459">
              <w:t>00</w:t>
            </w:r>
            <w:r>
              <w:t>.00</w:t>
            </w:r>
          </w:p>
        </w:tc>
        <w:tc>
          <w:tcPr>
            <w:tcW w:w="1320" w:type="dxa"/>
          </w:tcPr>
          <w:p w:rsidR="00DD531F" w:rsidRDefault="00940459" w:rsidP="000807EE">
            <w:pPr>
              <w:jc w:val="left"/>
            </w:pPr>
            <w:r>
              <w:t>$ 4</w:t>
            </w:r>
            <w:r w:rsidR="000807EE">
              <w:t>9,67</w:t>
            </w:r>
            <w:r w:rsidR="00C33C82">
              <w:t>7.5</w:t>
            </w:r>
            <w:r w:rsidR="000807EE">
              <w:t>7</w:t>
            </w:r>
          </w:p>
        </w:tc>
        <w:tc>
          <w:tcPr>
            <w:tcW w:w="1135" w:type="dxa"/>
          </w:tcPr>
          <w:p w:rsidR="00DD531F" w:rsidRDefault="00C33C82" w:rsidP="000807EE">
            <w:pPr>
              <w:jc w:val="left"/>
            </w:pPr>
            <w:r>
              <w:t>$ 26</w:t>
            </w:r>
            <w:r w:rsidR="000807EE">
              <w:t>8</w:t>
            </w:r>
            <w:r>
              <w:t>.</w:t>
            </w:r>
            <w:r w:rsidR="000807EE">
              <w:t>53</w:t>
            </w:r>
          </w:p>
        </w:tc>
        <w:tc>
          <w:tcPr>
            <w:tcW w:w="1338" w:type="dxa"/>
          </w:tcPr>
          <w:p w:rsidR="00DD531F" w:rsidRDefault="00DD531F" w:rsidP="00DD531F">
            <w:pPr>
              <w:jc w:val="left"/>
            </w:pPr>
            <w:r>
              <w:t>5 DAYS (185)</w:t>
            </w:r>
          </w:p>
        </w:tc>
        <w:tc>
          <w:tcPr>
            <w:tcW w:w="1764" w:type="dxa"/>
          </w:tcPr>
          <w:p w:rsidR="00DD531F" w:rsidRDefault="00F85041" w:rsidP="000807EE">
            <w:pPr>
              <w:jc w:val="left"/>
            </w:pPr>
            <w:r>
              <w:t xml:space="preserve">$   </w:t>
            </w:r>
            <w:r w:rsidR="000807EE">
              <w:t>5,304.57</w:t>
            </w:r>
            <w:r w:rsidR="00373C62">
              <w:t xml:space="preserve"> INCREASE OVER 2012-13 PAY</w:t>
            </w:r>
          </w:p>
        </w:tc>
        <w:tc>
          <w:tcPr>
            <w:tcW w:w="1968" w:type="dxa"/>
          </w:tcPr>
          <w:p w:rsidR="00DD531F" w:rsidRDefault="00DD531F" w:rsidP="00440F73">
            <w:pPr>
              <w:jc w:val="left"/>
            </w:pPr>
            <w:r>
              <w:t xml:space="preserve">$ </w:t>
            </w:r>
            <w:r w:rsidR="00AB0AC5">
              <w:t xml:space="preserve">  </w:t>
            </w:r>
            <w:r w:rsidR="000807EE">
              <w:t>362</w:t>
            </w:r>
            <w:r>
              <w:t>,000,000.00</w:t>
            </w:r>
          </w:p>
        </w:tc>
      </w:tr>
    </w:tbl>
    <w:p w:rsidR="00440F73" w:rsidRDefault="00440F73" w:rsidP="00440F73">
      <w:pPr>
        <w:jc w:val="left"/>
      </w:pPr>
    </w:p>
    <w:p w:rsidR="002B0518" w:rsidRDefault="0054054C" w:rsidP="00440F73">
      <w:pPr>
        <w:jc w:val="left"/>
      </w:pPr>
      <w:r>
        <w:t>For each fiscal year after the 20</w:t>
      </w:r>
      <w:r w:rsidR="000807EE">
        <w:t>20</w:t>
      </w:r>
      <w:r>
        <w:t>-</w:t>
      </w:r>
      <w:r w:rsidR="000807EE">
        <w:t>21</w:t>
      </w:r>
      <w:r>
        <w:t xml:space="preserve"> year</w:t>
      </w:r>
      <w:r w:rsidR="002B0518">
        <w:t xml:space="preserve"> the OK SDE will evaluate the average salary for teachers in our region.</w:t>
      </w:r>
      <w:r>
        <w:t xml:space="preserve">  The OK SDE will also evaluate the academic calendar of each state in our region.</w:t>
      </w:r>
      <w:r w:rsidR="002B0518">
        <w:t xml:space="preserve">  Oklahoma</w:t>
      </w:r>
      <w:r>
        <w:t xml:space="preserve"> students must have an academic calendar that provides additional time for meaningful instruction.  To ensure that Oklahoma’s students have highly effective teachers, and in order to recruit and retain top teaching talent, Oklahoma</w:t>
      </w:r>
      <w:r w:rsidR="002B0518">
        <w:t xml:space="preserve"> teachers must be compensated at or above the regional average for teacher compensation.  </w:t>
      </w:r>
    </w:p>
    <w:sectPr w:rsidR="002B05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78" w:rsidRDefault="00EC7C78" w:rsidP="00C12D94">
      <w:r>
        <w:separator/>
      </w:r>
    </w:p>
  </w:endnote>
  <w:endnote w:type="continuationSeparator" w:id="0">
    <w:p w:rsidR="00EC7C78" w:rsidRDefault="00EC7C78" w:rsidP="00C1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94" w:rsidRDefault="00C12D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94" w:rsidRDefault="00C12D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94" w:rsidRDefault="00C12D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78" w:rsidRDefault="00EC7C78" w:rsidP="00C12D94">
      <w:r>
        <w:separator/>
      </w:r>
    </w:p>
  </w:footnote>
  <w:footnote w:type="continuationSeparator" w:id="0">
    <w:p w:rsidR="00EC7C78" w:rsidRDefault="00EC7C78" w:rsidP="00C12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94" w:rsidRDefault="00C12D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94" w:rsidRDefault="00C12D9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94" w:rsidRDefault="00C12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73"/>
    <w:rsid w:val="000807EE"/>
    <w:rsid w:val="002B0518"/>
    <w:rsid w:val="00373C62"/>
    <w:rsid w:val="003B6AE1"/>
    <w:rsid w:val="00410B9E"/>
    <w:rsid w:val="00440F73"/>
    <w:rsid w:val="0054054C"/>
    <w:rsid w:val="00817031"/>
    <w:rsid w:val="008D5AD3"/>
    <w:rsid w:val="00940459"/>
    <w:rsid w:val="00AB0AC5"/>
    <w:rsid w:val="00C12D94"/>
    <w:rsid w:val="00C33C82"/>
    <w:rsid w:val="00D43C8B"/>
    <w:rsid w:val="00D4688C"/>
    <w:rsid w:val="00DB1D37"/>
    <w:rsid w:val="00DD531F"/>
    <w:rsid w:val="00EC7C78"/>
    <w:rsid w:val="00F3345D"/>
    <w:rsid w:val="00F85041"/>
    <w:rsid w:val="00FD2564"/>
    <w:rsid w:val="00FF4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B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2D94"/>
    <w:pPr>
      <w:tabs>
        <w:tab w:val="center" w:pos="4680"/>
        <w:tab w:val="right" w:pos="9360"/>
      </w:tabs>
    </w:pPr>
  </w:style>
  <w:style w:type="character" w:customStyle="1" w:styleId="HeaderChar">
    <w:name w:val="Header Char"/>
    <w:basedOn w:val="DefaultParagraphFont"/>
    <w:link w:val="Header"/>
    <w:uiPriority w:val="99"/>
    <w:rsid w:val="00C12D94"/>
  </w:style>
  <w:style w:type="paragraph" w:styleId="Footer">
    <w:name w:val="footer"/>
    <w:basedOn w:val="Normal"/>
    <w:link w:val="FooterChar"/>
    <w:uiPriority w:val="99"/>
    <w:unhideWhenUsed/>
    <w:rsid w:val="00C12D94"/>
    <w:pPr>
      <w:tabs>
        <w:tab w:val="center" w:pos="4680"/>
        <w:tab w:val="right" w:pos="9360"/>
      </w:tabs>
    </w:pPr>
  </w:style>
  <w:style w:type="character" w:customStyle="1" w:styleId="FooterChar">
    <w:name w:val="Footer Char"/>
    <w:basedOn w:val="DefaultParagraphFont"/>
    <w:link w:val="Footer"/>
    <w:uiPriority w:val="99"/>
    <w:rsid w:val="00C12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2D94"/>
    <w:pPr>
      <w:tabs>
        <w:tab w:val="center" w:pos="4680"/>
        <w:tab w:val="right" w:pos="9360"/>
      </w:tabs>
    </w:pPr>
  </w:style>
  <w:style w:type="character" w:customStyle="1" w:styleId="HeaderChar">
    <w:name w:val="Header Char"/>
    <w:basedOn w:val="DefaultParagraphFont"/>
    <w:link w:val="Header"/>
    <w:uiPriority w:val="99"/>
    <w:rsid w:val="00C12D94"/>
  </w:style>
  <w:style w:type="paragraph" w:styleId="Footer">
    <w:name w:val="footer"/>
    <w:basedOn w:val="Normal"/>
    <w:link w:val="FooterChar"/>
    <w:uiPriority w:val="99"/>
    <w:unhideWhenUsed/>
    <w:rsid w:val="00C12D94"/>
    <w:pPr>
      <w:tabs>
        <w:tab w:val="center" w:pos="4680"/>
        <w:tab w:val="right" w:pos="9360"/>
      </w:tabs>
    </w:pPr>
  </w:style>
  <w:style w:type="character" w:customStyle="1" w:styleId="FooterChar">
    <w:name w:val="Footer Char"/>
    <w:basedOn w:val="DefaultParagraphFont"/>
    <w:link w:val="Footer"/>
    <w:uiPriority w:val="99"/>
    <w:rsid w:val="00C1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Owens</dc:creator>
  <cp:lastModifiedBy>Carolyn Pickthorn</cp:lastModifiedBy>
  <cp:revision>2</cp:revision>
  <cp:lastPrinted>2015-01-23T01:06:00Z</cp:lastPrinted>
  <dcterms:created xsi:type="dcterms:W3CDTF">2015-01-26T02:47:00Z</dcterms:created>
  <dcterms:modified xsi:type="dcterms:W3CDTF">2015-01-26T02:47:00Z</dcterms:modified>
</cp:coreProperties>
</file>