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60" w:type="dxa"/>
        <w:tblCellMar>
          <w:left w:w="0" w:type="dxa"/>
          <w:right w:w="0" w:type="dxa"/>
        </w:tblCellMar>
        <w:tblLook w:val="0420" w:firstRow="1" w:lastRow="0" w:firstColumn="0" w:lastColumn="0" w:noHBand="0" w:noVBand="1"/>
      </w:tblPr>
      <w:tblGrid>
        <w:gridCol w:w="6480"/>
        <w:gridCol w:w="6480"/>
      </w:tblGrid>
      <w:tr w:rsidR="00AA7680" w:rsidRPr="00AA7680" w:rsidTr="00AA7680">
        <w:trPr>
          <w:trHeight w:val="480"/>
        </w:trPr>
        <w:tc>
          <w:tcPr>
            <w:tcW w:w="6480" w:type="dxa"/>
            <w:tcBorders>
              <w:top w:val="single" w:sz="8" w:space="0" w:color="333399"/>
              <w:left w:val="nil"/>
              <w:bottom w:val="single" w:sz="8" w:space="0" w:color="333399"/>
              <w:right w:val="nil"/>
            </w:tcBorders>
            <w:shd w:val="clear" w:color="auto" w:fill="auto"/>
            <w:tcMar>
              <w:top w:w="72" w:type="dxa"/>
              <w:left w:w="140" w:type="dxa"/>
              <w:bottom w:w="72" w:type="dxa"/>
              <w:right w:w="140" w:type="dxa"/>
            </w:tcMar>
            <w:hideMark/>
          </w:tcPr>
          <w:p w:rsidR="00AA7680" w:rsidRPr="00AA7680" w:rsidRDefault="00AA7680" w:rsidP="00AA7680">
            <w:pPr>
              <w:spacing w:after="0" w:line="240" w:lineRule="auto"/>
              <w:rPr>
                <w:rFonts w:ascii="Arial" w:eastAsia="Times New Roman" w:hAnsi="Arial" w:cs="Arial"/>
                <w:sz w:val="36"/>
                <w:szCs w:val="36"/>
              </w:rPr>
            </w:pPr>
            <w:r w:rsidRPr="00AA7680">
              <w:rPr>
                <w:rFonts w:ascii="Arial Narrow" w:eastAsia="Times New Roman" w:hAnsi="Arial Narrow" w:cs="Arial"/>
                <w:b/>
                <w:bCs/>
                <w:color w:val="000000" w:themeColor="text1"/>
                <w:kern w:val="24"/>
                <w:sz w:val="28"/>
                <w:szCs w:val="28"/>
              </w:rPr>
              <w:t>Mechanism</w:t>
            </w:r>
          </w:p>
        </w:tc>
        <w:tc>
          <w:tcPr>
            <w:tcW w:w="6480" w:type="dxa"/>
            <w:tcBorders>
              <w:top w:val="single" w:sz="8" w:space="0" w:color="333399"/>
              <w:left w:val="nil"/>
              <w:bottom w:val="single" w:sz="8" w:space="0" w:color="333399"/>
              <w:right w:val="nil"/>
            </w:tcBorders>
            <w:shd w:val="clear" w:color="auto" w:fill="auto"/>
            <w:tcMar>
              <w:top w:w="72" w:type="dxa"/>
              <w:left w:w="140" w:type="dxa"/>
              <w:bottom w:w="72" w:type="dxa"/>
              <w:right w:w="140" w:type="dxa"/>
            </w:tcMar>
            <w:hideMark/>
          </w:tcPr>
          <w:p w:rsidR="00AA7680" w:rsidRPr="00AA7680" w:rsidRDefault="00AA7680" w:rsidP="00AA7680">
            <w:pPr>
              <w:spacing w:after="0" w:line="240" w:lineRule="auto"/>
              <w:rPr>
                <w:rFonts w:ascii="Arial" w:eastAsia="Times New Roman" w:hAnsi="Arial" w:cs="Arial"/>
                <w:sz w:val="36"/>
                <w:szCs w:val="36"/>
              </w:rPr>
            </w:pPr>
            <w:r w:rsidRPr="00AA7680">
              <w:rPr>
                <w:rFonts w:ascii="Arial Narrow" w:eastAsia="Times New Roman" w:hAnsi="Arial Narrow" w:cs="Arial"/>
                <w:b/>
                <w:bCs/>
                <w:color w:val="000000" w:themeColor="text1"/>
                <w:kern w:val="24"/>
                <w:sz w:val="28"/>
                <w:szCs w:val="28"/>
              </w:rPr>
              <w:t>Definition/Overview</w:t>
            </w:r>
          </w:p>
        </w:tc>
      </w:tr>
      <w:tr w:rsidR="00AA7680" w:rsidRPr="00AA7680" w:rsidTr="00AA7680">
        <w:trPr>
          <w:trHeight w:val="2245"/>
        </w:trPr>
        <w:tc>
          <w:tcPr>
            <w:tcW w:w="6480" w:type="dxa"/>
            <w:tcBorders>
              <w:top w:val="single" w:sz="8" w:space="0" w:color="333399"/>
              <w:left w:val="nil"/>
              <w:bottom w:val="nil"/>
              <w:right w:val="nil"/>
            </w:tcBorders>
            <w:shd w:val="clear" w:color="auto" w:fill="E8E8EF"/>
            <w:tcMar>
              <w:top w:w="72" w:type="dxa"/>
              <w:left w:w="140" w:type="dxa"/>
              <w:bottom w:w="72" w:type="dxa"/>
              <w:right w:w="140" w:type="dxa"/>
            </w:tcMar>
            <w:hideMark/>
          </w:tcPr>
          <w:p w:rsidR="00AA7680" w:rsidRPr="00AA7680" w:rsidRDefault="00AA7680" w:rsidP="00AA7680">
            <w:pPr>
              <w:spacing w:after="0" w:line="240" w:lineRule="auto"/>
              <w:rPr>
                <w:rFonts w:ascii="Arial" w:eastAsia="Times New Roman" w:hAnsi="Arial" w:cs="Arial"/>
                <w:sz w:val="36"/>
                <w:szCs w:val="36"/>
              </w:rPr>
            </w:pPr>
            <w:r w:rsidRPr="00AA7680">
              <w:rPr>
                <w:rFonts w:ascii="Arial Narrow" w:eastAsia="Times New Roman" w:hAnsi="Arial Narrow" w:cs="Arial"/>
                <w:b/>
                <w:bCs/>
                <w:color w:val="000000" w:themeColor="text1"/>
                <w:kern w:val="24"/>
                <w:sz w:val="28"/>
                <w:szCs w:val="28"/>
              </w:rPr>
              <w:t>Differential Treatment</w:t>
            </w:r>
          </w:p>
        </w:tc>
        <w:tc>
          <w:tcPr>
            <w:tcW w:w="6480" w:type="dxa"/>
            <w:tcBorders>
              <w:top w:val="single" w:sz="8" w:space="0" w:color="333399"/>
              <w:left w:val="nil"/>
              <w:bottom w:val="nil"/>
              <w:right w:val="nil"/>
            </w:tcBorders>
            <w:shd w:val="clear" w:color="auto" w:fill="E8E8EF"/>
            <w:tcMar>
              <w:top w:w="72" w:type="dxa"/>
              <w:left w:w="140" w:type="dxa"/>
              <w:bottom w:w="72" w:type="dxa"/>
              <w:right w:w="140" w:type="dxa"/>
            </w:tcMar>
            <w:hideMark/>
          </w:tcPr>
          <w:p w:rsidR="00AA7680" w:rsidRPr="00AA7680" w:rsidRDefault="00AA7680" w:rsidP="00AA7680">
            <w:pPr>
              <w:spacing w:after="0" w:line="240" w:lineRule="auto"/>
              <w:rPr>
                <w:rFonts w:ascii="Arial" w:eastAsia="Times New Roman" w:hAnsi="Arial" w:cs="Arial"/>
                <w:sz w:val="36"/>
                <w:szCs w:val="36"/>
              </w:rPr>
            </w:pPr>
            <w:r w:rsidRPr="00AA7680">
              <w:rPr>
                <w:rFonts w:ascii="Arial Narrow" w:eastAsia="Times New Roman" w:hAnsi="Arial Narrow" w:cs="Arial"/>
                <w:b/>
                <w:bCs/>
                <w:color w:val="000000" w:themeColor="text1"/>
                <w:kern w:val="24"/>
                <w:sz w:val="28"/>
                <w:szCs w:val="28"/>
              </w:rPr>
              <w:t xml:space="preserve">The research literature raises the possibility that DMC is caused by </w:t>
            </w:r>
            <w:r w:rsidR="00635D6A" w:rsidRPr="00AA7680">
              <w:rPr>
                <w:rFonts w:ascii="Arial Narrow" w:eastAsia="Times New Roman" w:hAnsi="Arial Narrow" w:cs="Arial"/>
                <w:b/>
                <w:bCs/>
                <w:color w:val="000000" w:themeColor="text1"/>
                <w:kern w:val="24"/>
                <w:sz w:val="28"/>
                <w:szCs w:val="28"/>
              </w:rPr>
              <w:t>intentional and</w:t>
            </w:r>
            <w:r w:rsidRPr="00AA7680">
              <w:rPr>
                <w:rFonts w:ascii="Arial Narrow" w:eastAsia="Times New Roman" w:hAnsi="Arial Narrow" w:cs="Arial"/>
                <w:b/>
                <w:bCs/>
                <w:color w:val="000000" w:themeColor="text1"/>
                <w:kern w:val="24"/>
                <w:sz w:val="28"/>
                <w:szCs w:val="28"/>
              </w:rPr>
              <w:t xml:space="preserve"> unintentional bias.  Intentional </w:t>
            </w:r>
            <w:r w:rsidR="00635D6A" w:rsidRPr="00AA7680">
              <w:rPr>
                <w:rFonts w:ascii="Arial Narrow" w:eastAsia="Times New Roman" w:hAnsi="Arial Narrow" w:cs="Arial"/>
                <w:b/>
                <w:bCs/>
                <w:color w:val="000000" w:themeColor="text1"/>
                <w:kern w:val="24"/>
                <w:sz w:val="28"/>
                <w:szCs w:val="28"/>
              </w:rPr>
              <w:t>bias is</w:t>
            </w:r>
            <w:r w:rsidRPr="00AA7680">
              <w:rPr>
                <w:rFonts w:ascii="Arial Narrow" w:eastAsia="Times New Roman" w:hAnsi="Arial Narrow" w:cs="Arial"/>
                <w:b/>
                <w:bCs/>
                <w:color w:val="000000" w:themeColor="text1"/>
                <w:kern w:val="24"/>
                <w:sz w:val="28"/>
                <w:szCs w:val="28"/>
              </w:rPr>
              <w:t xml:space="preserve"> overt and operates on racial </w:t>
            </w:r>
            <w:r w:rsidR="00635D6A" w:rsidRPr="00AA7680">
              <w:rPr>
                <w:rFonts w:ascii="Arial Narrow" w:eastAsia="Times New Roman" w:hAnsi="Arial Narrow" w:cs="Arial"/>
                <w:b/>
                <w:bCs/>
                <w:color w:val="000000" w:themeColor="text1"/>
                <w:kern w:val="24"/>
                <w:sz w:val="28"/>
                <w:szCs w:val="28"/>
              </w:rPr>
              <w:t>stereotyping and</w:t>
            </w:r>
            <w:r w:rsidRPr="00AA7680">
              <w:rPr>
                <w:rFonts w:ascii="Arial Narrow" w:eastAsia="Times New Roman" w:hAnsi="Arial Narrow" w:cs="Arial"/>
                <w:b/>
                <w:bCs/>
                <w:color w:val="000000" w:themeColor="text1"/>
                <w:kern w:val="24"/>
                <w:sz w:val="28"/>
                <w:szCs w:val="28"/>
              </w:rPr>
              <w:t xml:space="preserve"> assumptions.  Unintentional bias is typically </w:t>
            </w:r>
            <w:r w:rsidR="00635D6A" w:rsidRPr="00AA7680">
              <w:rPr>
                <w:rFonts w:ascii="Arial Narrow" w:eastAsia="Times New Roman" w:hAnsi="Arial Narrow" w:cs="Arial"/>
                <w:b/>
                <w:bCs/>
                <w:color w:val="000000" w:themeColor="text1"/>
                <w:kern w:val="24"/>
                <w:sz w:val="28"/>
                <w:szCs w:val="28"/>
              </w:rPr>
              <w:t>indirect and</w:t>
            </w:r>
            <w:r w:rsidRPr="00AA7680">
              <w:rPr>
                <w:rFonts w:eastAsia="Times New Roman" w:hAnsi="Arial Narrow" w:cs="Arial"/>
                <w:b/>
                <w:bCs/>
                <w:color w:val="000000" w:themeColor="text1"/>
                <w:kern w:val="24"/>
                <w:sz w:val="28"/>
                <w:szCs w:val="28"/>
              </w:rPr>
              <w:t xml:space="preserve"> </w:t>
            </w:r>
            <w:r w:rsidRPr="00AA7680">
              <w:rPr>
                <w:rFonts w:eastAsia="Times New Roman" w:hAnsi="Arial Narrow" w:cs="Tahoma"/>
                <w:b/>
                <w:bCs/>
                <w:color w:val="000000" w:themeColor="text1"/>
                <w:kern w:val="24"/>
                <w:sz w:val="28"/>
                <w:szCs w:val="28"/>
              </w:rPr>
              <w:t>often operates through legitimate criteria but works to the disadvantage of minority youth.</w:t>
            </w:r>
          </w:p>
        </w:tc>
        <w:bookmarkStart w:id="0" w:name="_GoBack"/>
        <w:bookmarkEnd w:id="0"/>
      </w:tr>
      <w:tr w:rsidR="00AA7680" w:rsidRPr="00AA7680" w:rsidTr="00AA7680">
        <w:trPr>
          <w:trHeight w:val="1488"/>
        </w:trPr>
        <w:tc>
          <w:tcPr>
            <w:tcW w:w="6480" w:type="dxa"/>
            <w:tcBorders>
              <w:top w:val="nil"/>
              <w:left w:val="nil"/>
              <w:bottom w:val="nil"/>
              <w:right w:val="nil"/>
            </w:tcBorders>
            <w:shd w:val="clear" w:color="auto" w:fill="auto"/>
            <w:tcMar>
              <w:top w:w="72" w:type="dxa"/>
              <w:left w:w="140" w:type="dxa"/>
              <w:bottom w:w="72" w:type="dxa"/>
              <w:right w:w="140" w:type="dxa"/>
            </w:tcMar>
            <w:hideMark/>
          </w:tcPr>
          <w:p w:rsidR="00AA7680" w:rsidRPr="00AA7680" w:rsidRDefault="00AA7680" w:rsidP="00AA7680">
            <w:pPr>
              <w:spacing w:after="0" w:line="240" w:lineRule="auto"/>
              <w:rPr>
                <w:rFonts w:ascii="Arial" w:eastAsia="Times New Roman" w:hAnsi="Arial" w:cs="Arial"/>
                <w:sz w:val="36"/>
                <w:szCs w:val="36"/>
              </w:rPr>
            </w:pPr>
            <w:r w:rsidRPr="00AA7680">
              <w:rPr>
                <w:rFonts w:ascii="Arial Narrow" w:eastAsia="Times New Roman" w:hAnsi="Arial Narrow" w:cs="Arial"/>
                <w:b/>
                <w:bCs/>
                <w:color w:val="000000" w:themeColor="text1"/>
                <w:kern w:val="24"/>
                <w:sz w:val="28"/>
                <w:szCs w:val="28"/>
              </w:rPr>
              <w:t>Seasonal Mobility</w:t>
            </w:r>
          </w:p>
        </w:tc>
        <w:tc>
          <w:tcPr>
            <w:tcW w:w="6480" w:type="dxa"/>
            <w:tcBorders>
              <w:top w:val="nil"/>
              <w:left w:val="nil"/>
              <w:bottom w:val="nil"/>
              <w:right w:val="nil"/>
            </w:tcBorders>
            <w:shd w:val="clear" w:color="auto" w:fill="auto"/>
            <w:tcMar>
              <w:top w:w="72" w:type="dxa"/>
              <w:left w:w="140" w:type="dxa"/>
              <w:bottom w:w="72" w:type="dxa"/>
              <w:right w:w="140" w:type="dxa"/>
            </w:tcMar>
            <w:hideMark/>
          </w:tcPr>
          <w:p w:rsidR="00AA7680" w:rsidRPr="00AA7680" w:rsidRDefault="00AA7680" w:rsidP="00AA7680">
            <w:pPr>
              <w:spacing w:after="0" w:line="240" w:lineRule="auto"/>
              <w:rPr>
                <w:rFonts w:ascii="Arial" w:eastAsia="Times New Roman" w:hAnsi="Arial" w:cs="Arial"/>
                <w:sz w:val="36"/>
                <w:szCs w:val="36"/>
              </w:rPr>
            </w:pPr>
            <w:r w:rsidRPr="00AA7680">
              <w:rPr>
                <w:rFonts w:ascii="Arial Narrow" w:eastAsia="Times New Roman" w:hAnsi="Arial Narrow" w:cs="Arial"/>
                <w:b/>
                <w:bCs/>
                <w:color w:val="000000" w:themeColor="text1"/>
                <w:kern w:val="24"/>
                <w:sz w:val="28"/>
                <w:szCs w:val="28"/>
              </w:rPr>
              <w:t>Occurs when a community has an influx of juveniles during a particular season, frequently either a holiday season (spring break) or a vacation season (summer break).</w:t>
            </w:r>
          </w:p>
        </w:tc>
      </w:tr>
      <w:tr w:rsidR="00AA7680" w:rsidRPr="00AA7680" w:rsidTr="00AA7680">
        <w:trPr>
          <w:trHeight w:val="2367"/>
        </w:trPr>
        <w:tc>
          <w:tcPr>
            <w:tcW w:w="6480" w:type="dxa"/>
            <w:tcBorders>
              <w:top w:val="nil"/>
              <w:left w:val="nil"/>
              <w:bottom w:val="single" w:sz="8" w:space="0" w:color="333399"/>
              <w:right w:val="nil"/>
            </w:tcBorders>
            <w:shd w:val="clear" w:color="auto" w:fill="E8E8EF"/>
            <w:tcMar>
              <w:top w:w="72" w:type="dxa"/>
              <w:left w:w="140" w:type="dxa"/>
              <w:bottom w:w="72" w:type="dxa"/>
              <w:right w:w="140" w:type="dxa"/>
            </w:tcMar>
            <w:hideMark/>
          </w:tcPr>
          <w:p w:rsidR="00AA7680" w:rsidRPr="00AA7680" w:rsidRDefault="00AA7680" w:rsidP="00AA7680">
            <w:pPr>
              <w:spacing w:after="0" w:line="240" w:lineRule="auto"/>
              <w:rPr>
                <w:rFonts w:ascii="Arial" w:eastAsia="Times New Roman" w:hAnsi="Arial" w:cs="Arial"/>
                <w:sz w:val="36"/>
                <w:szCs w:val="36"/>
              </w:rPr>
            </w:pPr>
            <w:r w:rsidRPr="00AA7680">
              <w:rPr>
                <w:rFonts w:ascii="Arial Narrow" w:eastAsia="Times New Roman" w:hAnsi="Arial Narrow" w:cs="Arial"/>
                <w:b/>
                <w:bCs/>
                <w:color w:val="000000" w:themeColor="text1"/>
                <w:kern w:val="24"/>
                <w:sz w:val="28"/>
                <w:szCs w:val="28"/>
              </w:rPr>
              <w:t>Attractive Nuisance</w:t>
            </w:r>
          </w:p>
        </w:tc>
        <w:tc>
          <w:tcPr>
            <w:tcW w:w="6480" w:type="dxa"/>
            <w:tcBorders>
              <w:top w:val="nil"/>
              <w:left w:val="nil"/>
              <w:bottom w:val="single" w:sz="8" w:space="0" w:color="333399"/>
              <w:right w:val="nil"/>
            </w:tcBorders>
            <w:shd w:val="clear" w:color="auto" w:fill="E8E8EF"/>
            <w:tcMar>
              <w:top w:w="72" w:type="dxa"/>
              <w:left w:w="140" w:type="dxa"/>
              <w:bottom w:w="72" w:type="dxa"/>
              <w:right w:w="140" w:type="dxa"/>
            </w:tcMar>
            <w:hideMark/>
          </w:tcPr>
          <w:p w:rsidR="00AA7680" w:rsidRPr="00AA7680" w:rsidRDefault="00AA7680" w:rsidP="00AA7680">
            <w:pPr>
              <w:spacing w:after="0" w:line="240" w:lineRule="auto"/>
              <w:rPr>
                <w:rFonts w:ascii="Arial" w:eastAsia="Times New Roman" w:hAnsi="Arial" w:cs="Arial"/>
                <w:sz w:val="36"/>
                <w:szCs w:val="36"/>
              </w:rPr>
            </w:pPr>
            <w:r w:rsidRPr="00AA7680">
              <w:rPr>
                <w:rFonts w:ascii="Arial Narrow" w:eastAsia="Times New Roman" w:hAnsi="Arial Narrow" w:cs="Arial"/>
                <w:b/>
                <w:bCs/>
                <w:color w:val="000000" w:themeColor="text1"/>
                <w:kern w:val="24"/>
                <w:sz w:val="28"/>
                <w:szCs w:val="28"/>
              </w:rPr>
              <w:t>Applied to a number of commercial or entertainment areas, particularly in urban settings. For example, a shopping mall or entertainment facility may be located in a suburban community or an urban neighborhood that has lower proportions of minority residents but draws youth from across an urban area.</w:t>
            </w:r>
          </w:p>
        </w:tc>
      </w:tr>
    </w:tbl>
    <w:p w:rsidR="00AA7680" w:rsidRDefault="00AA7680"/>
    <w:p w:rsidR="00AA7680" w:rsidRDefault="00AA7680">
      <w:r>
        <w:br w:type="page"/>
      </w:r>
    </w:p>
    <w:tbl>
      <w:tblPr>
        <w:tblW w:w="13200" w:type="dxa"/>
        <w:tblCellMar>
          <w:left w:w="0" w:type="dxa"/>
          <w:right w:w="0" w:type="dxa"/>
        </w:tblCellMar>
        <w:tblLook w:val="0420" w:firstRow="1" w:lastRow="0" w:firstColumn="0" w:lastColumn="0" w:noHBand="0" w:noVBand="1"/>
      </w:tblPr>
      <w:tblGrid>
        <w:gridCol w:w="6600"/>
        <w:gridCol w:w="6600"/>
      </w:tblGrid>
      <w:tr w:rsidR="00AA7680" w:rsidRPr="00AA7680" w:rsidTr="00AA7680">
        <w:trPr>
          <w:trHeight w:val="584"/>
        </w:trPr>
        <w:tc>
          <w:tcPr>
            <w:tcW w:w="6600" w:type="dxa"/>
            <w:tcBorders>
              <w:top w:val="single" w:sz="8" w:space="0" w:color="333399"/>
              <w:left w:val="nil"/>
              <w:bottom w:val="single" w:sz="8" w:space="0" w:color="333399"/>
              <w:right w:val="nil"/>
            </w:tcBorders>
            <w:shd w:val="clear" w:color="auto" w:fill="auto"/>
            <w:tcMar>
              <w:top w:w="72" w:type="dxa"/>
              <w:left w:w="140" w:type="dxa"/>
              <w:bottom w:w="72" w:type="dxa"/>
              <w:right w:w="140" w:type="dxa"/>
            </w:tcMar>
            <w:hideMark/>
          </w:tcPr>
          <w:p w:rsidR="00AA7680" w:rsidRPr="00AA7680" w:rsidRDefault="00AA7680" w:rsidP="00AA7680">
            <w:pPr>
              <w:spacing w:after="0" w:line="240" w:lineRule="auto"/>
              <w:rPr>
                <w:rFonts w:ascii="Arial" w:eastAsia="Times New Roman" w:hAnsi="Arial" w:cs="Arial"/>
                <w:sz w:val="36"/>
                <w:szCs w:val="36"/>
              </w:rPr>
            </w:pPr>
            <w:r w:rsidRPr="00AA7680">
              <w:rPr>
                <w:rFonts w:ascii="Arial Narrow" w:eastAsia="Times New Roman" w:hAnsi="Arial Narrow" w:cs="Arial"/>
                <w:b/>
                <w:bCs/>
                <w:color w:val="000000" w:themeColor="text1"/>
                <w:kern w:val="24"/>
                <w:sz w:val="28"/>
                <w:szCs w:val="28"/>
              </w:rPr>
              <w:lastRenderedPageBreak/>
              <w:t>Mechanism</w:t>
            </w:r>
          </w:p>
        </w:tc>
        <w:tc>
          <w:tcPr>
            <w:tcW w:w="6600" w:type="dxa"/>
            <w:tcBorders>
              <w:top w:val="single" w:sz="8" w:space="0" w:color="333399"/>
              <w:left w:val="nil"/>
              <w:bottom w:val="single" w:sz="8" w:space="0" w:color="333399"/>
              <w:right w:val="nil"/>
            </w:tcBorders>
            <w:shd w:val="clear" w:color="auto" w:fill="auto"/>
            <w:tcMar>
              <w:top w:w="72" w:type="dxa"/>
              <w:left w:w="140" w:type="dxa"/>
              <w:bottom w:w="72" w:type="dxa"/>
              <w:right w:w="140" w:type="dxa"/>
            </w:tcMar>
            <w:hideMark/>
          </w:tcPr>
          <w:p w:rsidR="00AA7680" w:rsidRPr="00AA7680" w:rsidRDefault="00AA7680" w:rsidP="00AA7680">
            <w:pPr>
              <w:spacing w:after="0" w:line="240" w:lineRule="auto"/>
              <w:rPr>
                <w:rFonts w:ascii="Arial" w:eastAsia="Times New Roman" w:hAnsi="Arial" w:cs="Arial"/>
                <w:sz w:val="36"/>
                <w:szCs w:val="36"/>
              </w:rPr>
            </w:pPr>
            <w:r w:rsidRPr="00AA7680">
              <w:rPr>
                <w:rFonts w:ascii="Arial Narrow" w:eastAsia="Times New Roman" w:hAnsi="Arial Narrow" w:cs="Arial"/>
                <w:b/>
                <w:bCs/>
                <w:color w:val="000000" w:themeColor="text1"/>
                <w:kern w:val="24"/>
                <w:sz w:val="28"/>
                <w:szCs w:val="28"/>
              </w:rPr>
              <w:t>Definition/Overview</w:t>
            </w:r>
          </w:p>
        </w:tc>
      </w:tr>
      <w:tr w:rsidR="00AA7680" w:rsidRPr="00AA7680" w:rsidTr="00AA7680">
        <w:trPr>
          <w:trHeight w:val="1488"/>
        </w:trPr>
        <w:tc>
          <w:tcPr>
            <w:tcW w:w="6600" w:type="dxa"/>
            <w:tcBorders>
              <w:top w:val="single" w:sz="8" w:space="0" w:color="333399"/>
              <w:left w:val="nil"/>
              <w:bottom w:val="nil"/>
              <w:right w:val="nil"/>
            </w:tcBorders>
            <w:shd w:val="clear" w:color="auto" w:fill="E8E8EF"/>
            <w:tcMar>
              <w:top w:w="72" w:type="dxa"/>
              <w:left w:w="140" w:type="dxa"/>
              <w:bottom w:w="72" w:type="dxa"/>
              <w:right w:w="140" w:type="dxa"/>
            </w:tcMar>
            <w:hideMark/>
          </w:tcPr>
          <w:p w:rsidR="00AA7680" w:rsidRPr="00AA7680" w:rsidRDefault="00AA7680" w:rsidP="00AA7680">
            <w:pPr>
              <w:spacing w:after="0" w:line="240" w:lineRule="auto"/>
              <w:rPr>
                <w:rFonts w:ascii="Arial" w:eastAsia="Times New Roman" w:hAnsi="Arial" w:cs="Arial"/>
                <w:sz w:val="36"/>
                <w:szCs w:val="36"/>
              </w:rPr>
            </w:pPr>
            <w:r w:rsidRPr="00AA7680">
              <w:rPr>
                <w:rFonts w:eastAsiaTheme="minorEastAsia" w:hAnsi="Arial Narrow"/>
                <w:b/>
                <w:bCs/>
                <w:color w:val="000000" w:themeColor="text1"/>
                <w:kern w:val="24"/>
                <w:sz w:val="28"/>
                <w:szCs w:val="28"/>
              </w:rPr>
              <w:t>Immigration-and Migration-Related Mobility</w:t>
            </w:r>
          </w:p>
        </w:tc>
        <w:tc>
          <w:tcPr>
            <w:tcW w:w="6600" w:type="dxa"/>
            <w:tcBorders>
              <w:top w:val="single" w:sz="8" w:space="0" w:color="333399"/>
              <w:left w:val="nil"/>
              <w:bottom w:val="nil"/>
              <w:right w:val="nil"/>
            </w:tcBorders>
            <w:shd w:val="clear" w:color="auto" w:fill="E8E8EF"/>
            <w:tcMar>
              <w:top w:w="72" w:type="dxa"/>
              <w:left w:w="140" w:type="dxa"/>
              <w:bottom w:w="72" w:type="dxa"/>
              <w:right w:w="140" w:type="dxa"/>
            </w:tcMar>
            <w:hideMark/>
          </w:tcPr>
          <w:p w:rsidR="00AA7680" w:rsidRPr="00AA7680" w:rsidRDefault="00AA7680" w:rsidP="00AA7680">
            <w:pPr>
              <w:spacing w:after="0" w:line="240" w:lineRule="auto"/>
              <w:rPr>
                <w:rFonts w:ascii="Arial" w:eastAsia="Times New Roman" w:hAnsi="Arial" w:cs="Arial"/>
                <w:sz w:val="36"/>
                <w:szCs w:val="36"/>
              </w:rPr>
            </w:pPr>
            <w:r w:rsidRPr="00AA7680">
              <w:rPr>
                <w:rFonts w:eastAsiaTheme="minorEastAsia" w:hAnsi="Arial Narrow"/>
                <w:b/>
                <w:bCs/>
                <w:color w:val="000000" w:themeColor="text1"/>
                <w:kern w:val="24"/>
                <w:sz w:val="28"/>
                <w:szCs w:val="28"/>
              </w:rPr>
              <w:t>May have an impact on communities to create higher levels of DMC, particularly where policies of the U.S. Citizenship and Immigration Services are a major concern.</w:t>
            </w:r>
          </w:p>
        </w:tc>
      </w:tr>
      <w:tr w:rsidR="00AA7680" w:rsidRPr="00AA7680" w:rsidTr="00AA7680">
        <w:trPr>
          <w:trHeight w:val="1824"/>
        </w:trPr>
        <w:tc>
          <w:tcPr>
            <w:tcW w:w="6600" w:type="dxa"/>
            <w:tcBorders>
              <w:top w:val="nil"/>
              <w:left w:val="nil"/>
              <w:bottom w:val="nil"/>
              <w:right w:val="nil"/>
            </w:tcBorders>
            <w:shd w:val="clear" w:color="auto" w:fill="auto"/>
            <w:tcMar>
              <w:top w:w="72" w:type="dxa"/>
              <w:left w:w="140" w:type="dxa"/>
              <w:bottom w:w="72" w:type="dxa"/>
              <w:right w:w="140" w:type="dxa"/>
            </w:tcMar>
            <w:hideMark/>
          </w:tcPr>
          <w:p w:rsidR="00AA7680" w:rsidRPr="00AA7680" w:rsidRDefault="00AA7680" w:rsidP="00AA7680">
            <w:pPr>
              <w:spacing w:after="0" w:line="240" w:lineRule="auto"/>
              <w:rPr>
                <w:rFonts w:ascii="Arial" w:eastAsia="Times New Roman" w:hAnsi="Arial" w:cs="Arial"/>
                <w:sz w:val="36"/>
                <w:szCs w:val="36"/>
              </w:rPr>
            </w:pPr>
            <w:r w:rsidRPr="00AA7680">
              <w:rPr>
                <w:rFonts w:ascii="Arial Narrow" w:eastAsia="Times New Roman" w:hAnsi="Arial Narrow" w:cs="Arial"/>
                <w:b/>
                <w:bCs/>
                <w:color w:val="000000" w:themeColor="text1"/>
                <w:kern w:val="24"/>
                <w:sz w:val="28"/>
                <w:szCs w:val="28"/>
              </w:rPr>
              <w:t>Differential Behavior</w:t>
            </w:r>
          </w:p>
        </w:tc>
        <w:tc>
          <w:tcPr>
            <w:tcW w:w="6600" w:type="dxa"/>
            <w:tcBorders>
              <w:top w:val="nil"/>
              <w:left w:val="nil"/>
              <w:bottom w:val="nil"/>
              <w:right w:val="nil"/>
            </w:tcBorders>
            <w:shd w:val="clear" w:color="auto" w:fill="auto"/>
            <w:tcMar>
              <w:top w:w="72" w:type="dxa"/>
              <w:left w:w="140" w:type="dxa"/>
              <w:bottom w:w="72" w:type="dxa"/>
              <w:right w:w="140" w:type="dxa"/>
            </w:tcMar>
            <w:hideMark/>
          </w:tcPr>
          <w:p w:rsidR="00AA7680" w:rsidRPr="00AA7680" w:rsidRDefault="00AA7680" w:rsidP="00AA7680">
            <w:pPr>
              <w:spacing w:after="0" w:line="240" w:lineRule="auto"/>
              <w:rPr>
                <w:rFonts w:ascii="Arial" w:eastAsia="Times New Roman" w:hAnsi="Arial" w:cs="Arial"/>
                <w:sz w:val="36"/>
                <w:szCs w:val="36"/>
              </w:rPr>
            </w:pPr>
            <w:r w:rsidRPr="00AA7680">
              <w:rPr>
                <w:rFonts w:ascii="Arial Narrow" w:eastAsia="Times New Roman" w:hAnsi="Arial Narrow" w:cs="Arial"/>
                <w:b/>
                <w:bCs/>
                <w:color w:val="000000" w:themeColor="text1"/>
                <w:kern w:val="24"/>
                <w:sz w:val="28"/>
                <w:szCs w:val="28"/>
              </w:rPr>
              <w:t>The research literature raises the possibility that the rates at which youth from various</w:t>
            </w:r>
          </w:p>
          <w:p w:rsidR="00AA7680" w:rsidRPr="00AA7680" w:rsidRDefault="00635D6A" w:rsidP="00AA7680">
            <w:pPr>
              <w:spacing w:after="0" w:line="240" w:lineRule="auto"/>
              <w:rPr>
                <w:rFonts w:ascii="Arial" w:eastAsia="Times New Roman" w:hAnsi="Arial" w:cs="Arial"/>
                <w:sz w:val="36"/>
                <w:szCs w:val="36"/>
              </w:rPr>
            </w:pPr>
            <w:r w:rsidRPr="00AA7680">
              <w:rPr>
                <w:rFonts w:ascii="Arial Narrow" w:eastAsia="Times New Roman" w:hAnsi="Arial Narrow" w:cs="Arial"/>
                <w:b/>
                <w:bCs/>
                <w:color w:val="000000" w:themeColor="text1"/>
                <w:kern w:val="24"/>
                <w:sz w:val="28"/>
                <w:szCs w:val="28"/>
              </w:rPr>
              <w:t>Racial</w:t>
            </w:r>
            <w:r w:rsidR="00AA7680" w:rsidRPr="00AA7680">
              <w:rPr>
                <w:rFonts w:ascii="Arial Narrow" w:eastAsia="Times New Roman" w:hAnsi="Arial Narrow" w:cs="Arial"/>
                <w:b/>
                <w:bCs/>
                <w:color w:val="000000" w:themeColor="text1"/>
                <w:kern w:val="24"/>
                <w:sz w:val="28"/>
                <w:szCs w:val="28"/>
              </w:rPr>
              <w:t xml:space="preserve"> and ethnic subgroups are involved in delinquent activity may differ (i.e. drugs, gangs, serious offenses, repeated offending, </w:t>
            </w:r>
            <w:r w:rsidRPr="00AA7680">
              <w:rPr>
                <w:rFonts w:ascii="Arial Narrow" w:eastAsia="Times New Roman" w:hAnsi="Arial Narrow" w:cs="Arial"/>
                <w:b/>
                <w:bCs/>
                <w:color w:val="000000" w:themeColor="text1"/>
                <w:kern w:val="24"/>
                <w:sz w:val="28"/>
                <w:szCs w:val="28"/>
              </w:rPr>
              <w:t>etc.</w:t>
            </w:r>
            <w:r w:rsidR="00AA7680" w:rsidRPr="00AA7680">
              <w:rPr>
                <w:rFonts w:ascii="Arial Narrow" w:eastAsia="Times New Roman" w:hAnsi="Arial Narrow" w:cs="Arial"/>
                <w:b/>
                <w:bCs/>
                <w:color w:val="000000" w:themeColor="text1"/>
                <w:kern w:val="24"/>
                <w:sz w:val="28"/>
                <w:szCs w:val="28"/>
              </w:rPr>
              <w:t>).</w:t>
            </w:r>
          </w:p>
        </w:tc>
      </w:tr>
      <w:tr w:rsidR="00AA7680" w:rsidRPr="00AA7680" w:rsidTr="00AA7680">
        <w:trPr>
          <w:trHeight w:val="2496"/>
        </w:trPr>
        <w:tc>
          <w:tcPr>
            <w:tcW w:w="6600" w:type="dxa"/>
            <w:tcBorders>
              <w:top w:val="nil"/>
              <w:left w:val="nil"/>
              <w:bottom w:val="single" w:sz="8" w:space="0" w:color="333399"/>
              <w:right w:val="nil"/>
            </w:tcBorders>
            <w:shd w:val="clear" w:color="auto" w:fill="E8E8EF"/>
            <w:tcMar>
              <w:top w:w="72" w:type="dxa"/>
              <w:left w:w="140" w:type="dxa"/>
              <w:bottom w:w="72" w:type="dxa"/>
              <w:right w:w="140" w:type="dxa"/>
            </w:tcMar>
            <w:hideMark/>
          </w:tcPr>
          <w:p w:rsidR="00AA7680" w:rsidRPr="00AA7680" w:rsidRDefault="00AA7680" w:rsidP="00AA7680">
            <w:pPr>
              <w:spacing w:after="0" w:line="240" w:lineRule="auto"/>
              <w:rPr>
                <w:rFonts w:ascii="Arial" w:eastAsia="Times New Roman" w:hAnsi="Arial" w:cs="Arial"/>
                <w:sz w:val="36"/>
                <w:szCs w:val="36"/>
              </w:rPr>
            </w:pPr>
            <w:r w:rsidRPr="00AA7680">
              <w:rPr>
                <w:rFonts w:eastAsiaTheme="minorEastAsia" w:hAnsi="Arial Narrow"/>
                <w:b/>
                <w:bCs/>
                <w:color w:val="000000" w:themeColor="text1"/>
                <w:kern w:val="24"/>
                <w:sz w:val="28"/>
                <w:szCs w:val="28"/>
              </w:rPr>
              <w:t>Institutional Effects</w:t>
            </w:r>
          </w:p>
        </w:tc>
        <w:tc>
          <w:tcPr>
            <w:tcW w:w="6600" w:type="dxa"/>
            <w:tcBorders>
              <w:top w:val="nil"/>
              <w:left w:val="nil"/>
              <w:bottom w:val="single" w:sz="8" w:space="0" w:color="333399"/>
              <w:right w:val="nil"/>
            </w:tcBorders>
            <w:shd w:val="clear" w:color="auto" w:fill="E8E8EF"/>
            <w:tcMar>
              <w:top w:w="72" w:type="dxa"/>
              <w:left w:w="140" w:type="dxa"/>
              <w:bottom w:w="72" w:type="dxa"/>
              <w:right w:w="140" w:type="dxa"/>
            </w:tcMar>
            <w:hideMark/>
          </w:tcPr>
          <w:p w:rsidR="00AA7680" w:rsidRPr="00AA7680" w:rsidRDefault="00AA7680" w:rsidP="00AA7680">
            <w:pPr>
              <w:spacing w:after="0" w:line="240" w:lineRule="auto"/>
              <w:rPr>
                <w:rFonts w:ascii="Arial" w:eastAsia="Times New Roman" w:hAnsi="Arial" w:cs="Arial"/>
                <w:sz w:val="36"/>
                <w:szCs w:val="36"/>
              </w:rPr>
            </w:pPr>
            <w:r w:rsidRPr="00AA7680">
              <w:rPr>
                <w:rFonts w:eastAsiaTheme="minorEastAsia" w:hAnsi="Arial Narrow"/>
                <w:b/>
                <w:bCs/>
                <w:color w:val="000000" w:themeColor="text1"/>
                <w:kern w:val="24"/>
                <w:sz w:val="28"/>
                <w:szCs w:val="28"/>
              </w:rPr>
              <w:t>May occur when a jurisdiction provides residential or detention capacity for a number of other jurisdictions. For example, if a county operates a regional detention facility, then it might appear that its volume of detention activity is higher than in surrounding counties, and if the county includes these nonresident youth in its RRI calculation, it might create erroneous results.</w:t>
            </w:r>
          </w:p>
        </w:tc>
      </w:tr>
    </w:tbl>
    <w:p w:rsidR="00AA7680" w:rsidRDefault="00AA7680"/>
    <w:p w:rsidR="00AA7680" w:rsidRDefault="00AA7680">
      <w:r>
        <w:br w:type="page"/>
      </w:r>
    </w:p>
    <w:tbl>
      <w:tblPr>
        <w:tblW w:w="13440" w:type="dxa"/>
        <w:tblCellMar>
          <w:left w:w="0" w:type="dxa"/>
          <w:right w:w="0" w:type="dxa"/>
        </w:tblCellMar>
        <w:tblLook w:val="0420" w:firstRow="1" w:lastRow="0" w:firstColumn="0" w:lastColumn="0" w:noHBand="0" w:noVBand="1"/>
      </w:tblPr>
      <w:tblGrid>
        <w:gridCol w:w="6720"/>
        <w:gridCol w:w="6720"/>
      </w:tblGrid>
      <w:tr w:rsidR="00AA7680" w:rsidRPr="00AA7680" w:rsidTr="00AA7680">
        <w:trPr>
          <w:trHeight w:val="489"/>
        </w:trPr>
        <w:tc>
          <w:tcPr>
            <w:tcW w:w="6720" w:type="dxa"/>
            <w:tcBorders>
              <w:top w:val="single" w:sz="8" w:space="0" w:color="333399"/>
              <w:left w:val="nil"/>
              <w:bottom w:val="single" w:sz="8" w:space="0" w:color="333399"/>
              <w:right w:val="nil"/>
            </w:tcBorders>
            <w:shd w:val="clear" w:color="auto" w:fill="auto"/>
            <w:tcMar>
              <w:top w:w="72" w:type="dxa"/>
              <w:left w:w="133" w:type="dxa"/>
              <w:bottom w:w="72" w:type="dxa"/>
              <w:right w:w="133" w:type="dxa"/>
            </w:tcMar>
            <w:hideMark/>
          </w:tcPr>
          <w:p w:rsidR="00AA7680" w:rsidRPr="00AA7680" w:rsidRDefault="00AA7680" w:rsidP="00AA7680">
            <w:pPr>
              <w:spacing w:after="0" w:line="240" w:lineRule="auto"/>
              <w:rPr>
                <w:rFonts w:ascii="Arial" w:eastAsia="Times New Roman" w:hAnsi="Arial" w:cs="Arial"/>
                <w:sz w:val="36"/>
                <w:szCs w:val="36"/>
              </w:rPr>
            </w:pPr>
            <w:r w:rsidRPr="00AA7680">
              <w:rPr>
                <w:rFonts w:ascii="Arial Narrow" w:eastAsia="Times New Roman" w:hAnsi="Arial Narrow" w:cs="Arial"/>
                <w:b/>
                <w:bCs/>
                <w:color w:val="000000" w:themeColor="text1"/>
                <w:kern w:val="24"/>
                <w:sz w:val="28"/>
                <w:szCs w:val="28"/>
              </w:rPr>
              <w:lastRenderedPageBreak/>
              <w:t>Mechanism</w:t>
            </w:r>
          </w:p>
        </w:tc>
        <w:tc>
          <w:tcPr>
            <w:tcW w:w="6720" w:type="dxa"/>
            <w:tcBorders>
              <w:top w:val="single" w:sz="8" w:space="0" w:color="333399"/>
              <w:left w:val="nil"/>
              <w:bottom w:val="single" w:sz="8" w:space="0" w:color="333399"/>
              <w:right w:val="nil"/>
            </w:tcBorders>
            <w:shd w:val="clear" w:color="auto" w:fill="auto"/>
            <w:tcMar>
              <w:top w:w="72" w:type="dxa"/>
              <w:left w:w="133" w:type="dxa"/>
              <w:bottom w:w="72" w:type="dxa"/>
              <w:right w:w="133" w:type="dxa"/>
            </w:tcMar>
            <w:hideMark/>
          </w:tcPr>
          <w:p w:rsidR="00AA7680" w:rsidRPr="00AA7680" w:rsidRDefault="00AA7680" w:rsidP="00AA7680">
            <w:pPr>
              <w:spacing w:after="0" w:line="240" w:lineRule="auto"/>
              <w:rPr>
                <w:rFonts w:ascii="Arial" w:eastAsia="Times New Roman" w:hAnsi="Arial" w:cs="Arial"/>
                <w:sz w:val="36"/>
                <w:szCs w:val="36"/>
              </w:rPr>
            </w:pPr>
            <w:r w:rsidRPr="00AA7680">
              <w:rPr>
                <w:rFonts w:ascii="Arial Narrow" w:eastAsia="Times New Roman" w:hAnsi="Arial Narrow" w:cs="Arial"/>
                <w:b/>
                <w:bCs/>
                <w:color w:val="000000" w:themeColor="text1"/>
                <w:kern w:val="24"/>
                <w:sz w:val="28"/>
                <w:szCs w:val="28"/>
              </w:rPr>
              <w:t>Definition/Overview</w:t>
            </w:r>
          </w:p>
        </w:tc>
      </w:tr>
      <w:tr w:rsidR="00AA7680" w:rsidRPr="00AA7680" w:rsidTr="00AA7680">
        <w:trPr>
          <w:trHeight w:val="1824"/>
        </w:trPr>
        <w:tc>
          <w:tcPr>
            <w:tcW w:w="6720" w:type="dxa"/>
            <w:tcBorders>
              <w:top w:val="single" w:sz="8" w:space="0" w:color="333399"/>
              <w:left w:val="nil"/>
              <w:bottom w:val="nil"/>
              <w:right w:val="nil"/>
            </w:tcBorders>
            <w:shd w:val="clear" w:color="auto" w:fill="E8E8EF"/>
            <w:tcMar>
              <w:top w:w="72" w:type="dxa"/>
              <w:left w:w="133" w:type="dxa"/>
              <w:bottom w:w="72" w:type="dxa"/>
              <w:right w:w="133" w:type="dxa"/>
            </w:tcMar>
            <w:hideMark/>
          </w:tcPr>
          <w:p w:rsidR="00AA7680" w:rsidRPr="00AA7680" w:rsidRDefault="00AA7680" w:rsidP="00AA7680">
            <w:pPr>
              <w:spacing w:after="0" w:line="240" w:lineRule="auto"/>
              <w:rPr>
                <w:rFonts w:ascii="Arial" w:eastAsia="Times New Roman" w:hAnsi="Arial" w:cs="Arial"/>
                <w:sz w:val="36"/>
                <w:szCs w:val="36"/>
              </w:rPr>
            </w:pPr>
            <w:r w:rsidRPr="00AA7680">
              <w:rPr>
                <w:rFonts w:eastAsiaTheme="minorEastAsia" w:hAnsi="Arial Narrow"/>
                <w:b/>
                <w:bCs/>
                <w:color w:val="000000" w:themeColor="text1"/>
                <w:kern w:val="24"/>
                <w:sz w:val="28"/>
                <w:szCs w:val="28"/>
              </w:rPr>
              <w:t>Indirect effects</w:t>
            </w:r>
          </w:p>
        </w:tc>
        <w:tc>
          <w:tcPr>
            <w:tcW w:w="6720" w:type="dxa"/>
            <w:tcBorders>
              <w:top w:val="single" w:sz="8" w:space="0" w:color="333399"/>
              <w:left w:val="nil"/>
              <w:bottom w:val="nil"/>
              <w:right w:val="nil"/>
            </w:tcBorders>
            <w:shd w:val="clear" w:color="auto" w:fill="E8E8EF"/>
            <w:tcMar>
              <w:top w:w="72" w:type="dxa"/>
              <w:left w:w="133" w:type="dxa"/>
              <w:bottom w:w="72" w:type="dxa"/>
              <w:right w:w="133" w:type="dxa"/>
            </w:tcMar>
            <w:hideMark/>
          </w:tcPr>
          <w:p w:rsidR="00AA7680" w:rsidRPr="00AA7680" w:rsidRDefault="00AA7680" w:rsidP="00AA7680">
            <w:pPr>
              <w:spacing w:after="0" w:line="240" w:lineRule="auto"/>
              <w:rPr>
                <w:rFonts w:ascii="Arial" w:eastAsia="Times New Roman" w:hAnsi="Arial" w:cs="Arial"/>
                <w:sz w:val="36"/>
                <w:szCs w:val="36"/>
              </w:rPr>
            </w:pPr>
            <w:r w:rsidRPr="00AA7680">
              <w:rPr>
                <w:rFonts w:eastAsiaTheme="minorEastAsia" w:hAnsi="Arial Narrow"/>
                <w:b/>
                <w:bCs/>
                <w:color w:val="000000" w:themeColor="text1"/>
                <w:kern w:val="24"/>
                <w:sz w:val="28"/>
                <w:szCs w:val="28"/>
              </w:rPr>
              <w:t>Reflects economic status, education, location, and a host of risk factors associated with delinquent behavior, among other factors linked with race and ethnicity. These factors are related to delinquent activity or contact within the justice system.</w:t>
            </w:r>
          </w:p>
        </w:tc>
      </w:tr>
      <w:tr w:rsidR="00AA7680" w:rsidRPr="00AA7680" w:rsidTr="00AA7680">
        <w:trPr>
          <w:trHeight w:val="1956"/>
        </w:trPr>
        <w:tc>
          <w:tcPr>
            <w:tcW w:w="6720" w:type="dxa"/>
            <w:tcBorders>
              <w:top w:val="nil"/>
              <w:left w:val="nil"/>
              <w:bottom w:val="nil"/>
              <w:right w:val="nil"/>
            </w:tcBorders>
            <w:shd w:val="clear" w:color="auto" w:fill="auto"/>
            <w:tcMar>
              <w:top w:w="72" w:type="dxa"/>
              <w:left w:w="133" w:type="dxa"/>
              <w:bottom w:w="72" w:type="dxa"/>
              <w:right w:w="133" w:type="dxa"/>
            </w:tcMar>
            <w:hideMark/>
          </w:tcPr>
          <w:p w:rsidR="00AA7680" w:rsidRPr="00AA7680" w:rsidRDefault="00AA7680" w:rsidP="00AA7680">
            <w:pPr>
              <w:spacing w:after="0" w:line="240" w:lineRule="auto"/>
              <w:rPr>
                <w:rFonts w:ascii="Arial" w:eastAsia="Times New Roman" w:hAnsi="Arial" w:cs="Arial"/>
                <w:sz w:val="36"/>
                <w:szCs w:val="36"/>
              </w:rPr>
            </w:pPr>
            <w:r w:rsidRPr="00AA7680">
              <w:rPr>
                <w:rFonts w:eastAsiaTheme="minorEastAsia" w:hAnsi="Arial Narrow"/>
                <w:b/>
                <w:bCs/>
                <w:color w:val="000000" w:themeColor="text1"/>
                <w:kern w:val="24"/>
                <w:sz w:val="28"/>
                <w:szCs w:val="28"/>
              </w:rPr>
              <w:t>Specific risk factors</w:t>
            </w:r>
          </w:p>
          <w:p w:rsidR="00AA7680" w:rsidRPr="00AA7680" w:rsidRDefault="00AA7680" w:rsidP="00AA7680">
            <w:pPr>
              <w:spacing w:after="0" w:line="240" w:lineRule="auto"/>
              <w:rPr>
                <w:rFonts w:ascii="Arial" w:eastAsia="Times New Roman" w:hAnsi="Arial" w:cs="Arial"/>
                <w:sz w:val="36"/>
                <w:szCs w:val="36"/>
              </w:rPr>
            </w:pPr>
            <w:r w:rsidRPr="00AA7680">
              <w:rPr>
                <w:rFonts w:eastAsiaTheme="minorEastAsia" w:hAnsi="Arial Narrow"/>
                <w:b/>
                <w:bCs/>
                <w:color w:val="000000" w:themeColor="text1"/>
                <w:kern w:val="24"/>
                <w:sz w:val="28"/>
                <w:szCs w:val="28"/>
              </w:rPr>
              <w:t> </w:t>
            </w:r>
          </w:p>
        </w:tc>
        <w:tc>
          <w:tcPr>
            <w:tcW w:w="6720" w:type="dxa"/>
            <w:tcBorders>
              <w:top w:val="nil"/>
              <w:left w:val="nil"/>
              <w:bottom w:val="nil"/>
              <w:right w:val="nil"/>
            </w:tcBorders>
            <w:shd w:val="clear" w:color="auto" w:fill="auto"/>
            <w:tcMar>
              <w:top w:w="15" w:type="dxa"/>
              <w:left w:w="99" w:type="dxa"/>
              <w:bottom w:w="0" w:type="dxa"/>
              <w:right w:w="99" w:type="dxa"/>
            </w:tcMar>
            <w:hideMark/>
          </w:tcPr>
          <w:p w:rsidR="00AA7680" w:rsidRPr="00AA7680" w:rsidRDefault="00AA7680" w:rsidP="00AA7680">
            <w:pPr>
              <w:spacing w:after="0" w:line="240" w:lineRule="auto"/>
              <w:rPr>
                <w:rFonts w:ascii="Arial" w:eastAsia="Times New Roman" w:hAnsi="Arial" w:cs="Arial"/>
                <w:sz w:val="36"/>
                <w:szCs w:val="36"/>
              </w:rPr>
            </w:pPr>
            <w:r w:rsidRPr="00AA7680">
              <w:rPr>
                <w:rFonts w:eastAsia="Times New Roman" w:hAnsi="Arial Narrow" w:cs="Arial"/>
                <w:b/>
                <w:bCs/>
                <w:color w:val="000000"/>
                <w:kern w:val="24"/>
                <w:sz w:val="28"/>
                <w:szCs w:val="28"/>
              </w:rPr>
              <w:t>Correlated with race or ethnicity, may lead to differential offending issues. Risk factors such as poor school performance or living in disorganized neighborhoods are more likely to occur to minority youth, putting them at a greater risk of system involvement.</w:t>
            </w:r>
          </w:p>
        </w:tc>
      </w:tr>
      <w:tr w:rsidR="00AA7680" w:rsidRPr="00AA7680" w:rsidTr="00AA7680">
        <w:trPr>
          <w:trHeight w:val="1986"/>
        </w:trPr>
        <w:tc>
          <w:tcPr>
            <w:tcW w:w="6720" w:type="dxa"/>
            <w:tcBorders>
              <w:top w:val="nil"/>
              <w:left w:val="nil"/>
              <w:bottom w:val="single" w:sz="8" w:space="0" w:color="333399"/>
              <w:right w:val="nil"/>
            </w:tcBorders>
            <w:shd w:val="clear" w:color="auto" w:fill="E8E8EF"/>
            <w:tcMar>
              <w:top w:w="72" w:type="dxa"/>
              <w:left w:w="133" w:type="dxa"/>
              <w:bottom w:w="72" w:type="dxa"/>
              <w:right w:w="133" w:type="dxa"/>
            </w:tcMar>
            <w:hideMark/>
          </w:tcPr>
          <w:p w:rsidR="00AA7680" w:rsidRPr="00AA7680" w:rsidRDefault="00AA7680" w:rsidP="00AA7680">
            <w:pPr>
              <w:spacing w:after="0" w:line="240" w:lineRule="auto"/>
              <w:rPr>
                <w:rFonts w:ascii="Arial" w:eastAsia="Times New Roman" w:hAnsi="Arial" w:cs="Arial"/>
                <w:sz w:val="36"/>
                <w:szCs w:val="36"/>
              </w:rPr>
            </w:pPr>
            <w:r w:rsidRPr="00AA7680">
              <w:rPr>
                <w:rFonts w:eastAsiaTheme="minorEastAsia" w:hAnsi="Arial Narrow"/>
                <w:b/>
                <w:bCs/>
                <w:color w:val="000000" w:themeColor="text1"/>
                <w:kern w:val="24"/>
                <w:sz w:val="28"/>
                <w:szCs w:val="28"/>
              </w:rPr>
              <w:t>Decision making Factors</w:t>
            </w:r>
          </w:p>
        </w:tc>
        <w:tc>
          <w:tcPr>
            <w:tcW w:w="6720" w:type="dxa"/>
            <w:tcBorders>
              <w:top w:val="nil"/>
              <w:left w:val="nil"/>
              <w:bottom w:val="single" w:sz="8" w:space="0" w:color="333399"/>
              <w:right w:val="nil"/>
            </w:tcBorders>
            <w:shd w:val="clear" w:color="auto" w:fill="E8E8EF"/>
            <w:tcMar>
              <w:top w:w="72" w:type="dxa"/>
              <w:left w:w="133" w:type="dxa"/>
              <w:bottom w:w="72" w:type="dxa"/>
              <w:right w:w="133" w:type="dxa"/>
            </w:tcMar>
            <w:hideMark/>
          </w:tcPr>
          <w:p w:rsidR="00AA7680" w:rsidRPr="00AA7680" w:rsidRDefault="00AA7680" w:rsidP="00AA7680">
            <w:pPr>
              <w:spacing w:after="0" w:line="240" w:lineRule="auto"/>
              <w:rPr>
                <w:rFonts w:ascii="Arial" w:eastAsia="Times New Roman" w:hAnsi="Arial" w:cs="Arial"/>
                <w:sz w:val="36"/>
                <w:szCs w:val="36"/>
              </w:rPr>
            </w:pPr>
            <w:r w:rsidRPr="00AA7680">
              <w:rPr>
                <w:rFonts w:eastAsiaTheme="minorEastAsia" w:hAnsi="Arial Narrow"/>
                <w:b/>
                <w:bCs/>
                <w:color w:val="000000" w:themeColor="text1"/>
                <w:kern w:val="24"/>
                <w:sz w:val="28"/>
                <w:szCs w:val="28"/>
              </w:rPr>
              <w:t xml:space="preserve">For example, a number of studies have indicated that juvenile justice decision makers respond differently to youth from an </w:t>
            </w:r>
            <w:r w:rsidRPr="00AA7680">
              <w:rPr>
                <w:rFonts w:eastAsiaTheme="minorEastAsia" w:hAnsi="Arial Narrow"/>
                <w:b/>
                <w:bCs/>
                <w:color w:val="000000" w:themeColor="text1"/>
                <w:kern w:val="24"/>
                <w:sz w:val="28"/>
                <w:szCs w:val="28"/>
              </w:rPr>
              <w:t>“</w:t>
            </w:r>
            <w:r w:rsidRPr="00AA7680">
              <w:rPr>
                <w:rFonts w:eastAsiaTheme="minorEastAsia" w:hAnsi="Arial Narrow"/>
                <w:b/>
                <w:bCs/>
                <w:color w:val="000000" w:themeColor="text1"/>
                <w:kern w:val="24"/>
                <w:sz w:val="28"/>
                <w:szCs w:val="28"/>
              </w:rPr>
              <w:t>intact</w:t>
            </w:r>
            <w:r w:rsidRPr="00AA7680">
              <w:rPr>
                <w:rFonts w:eastAsiaTheme="minorEastAsia" w:hAnsi="Arial Narrow"/>
                <w:b/>
                <w:bCs/>
                <w:color w:val="000000" w:themeColor="text1"/>
                <w:kern w:val="24"/>
                <w:sz w:val="28"/>
                <w:szCs w:val="28"/>
              </w:rPr>
              <w:t>”</w:t>
            </w:r>
            <w:r w:rsidRPr="00AA7680">
              <w:rPr>
                <w:rFonts w:eastAsiaTheme="minorEastAsia" w:hAnsi="Arial Narrow"/>
                <w:b/>
                <w:bCs/>
                <w:color w:val="000000" w:themeColor="text1"/>
                <w:kern w:val="24"/>
                <w:sz w:val="28"/>
                <w:szCs w:val="28"/>
              </w:rPr>
              <w:t xml:space="preserve"> two-parent family setting than to youth from a single-parent home.</w:t>
            </w:r>
          </w:p>
        </w:tc>
      </w:tr>
    </w:tbl>
    <w:p w:rsidR="00AA7680" w:rsidRDefault="00AA7680"/>
    <w:p w:rsidR="00AA7680" w:rsidRDefault="00AA7680">
      <w:r>
        <w:br w:type="page"/>
      </w:r>
    </w:p>
    <w:tbl>
      <w:tblPr>
        <w:tblW w:w="12600" w:type="dxa"/>
        <w:tblCellMar>
          <w:left w:w="0" w:type="dxa"/>
          <w:right w:w="0" w:type="dxa"/>
        </w:tblCellMar>
        <w:tblLook w:val="0420" w:firstRow="1" w:lastRow="0" w:firstColumn="0" w:lastColumn="0" w:noHBand="0" w:noVBand="1"/>
      </w:tblPr>
      <w:tblGrid>
        <w:gridCol w:w="6300"/>
        <w:gridCol w:w="6300"/>
      </w:tblGrid>
      <w:tr w:rsidR="00635D6A" w:rsidRPr="00635D6A" w:rsidTr="00635D6A">
        <w:trPr>
          <w:trHeight w:val="547"/>
        </w:trPr>
        <w:tc>
          <w:tcPr>
            <w:tcW w:w="6300" w:type="dxa"/>
            <w:tcBorders>
              <w:top w:val="single" w:sz="8" w:space="0" w:color="333399"/>
              <w:left w:val="nil"/>
              <w:bottom w:val="single" w:sz="8" w:space="0" w:color="333399"/>
              <w:right w:val="nil"/>
            </w:tcBorders>
            <w:shd w:val="clear" w:color="auto" w:fill="auto"/>
            <w:tcMar>
              <w:top w:w="72" w:type="dxa"/>
              <w:left w:w="131" w:type="dxa"/>
              <w:bottom w:w="72" w:type="dxa"/>
              <w:right w:w="131"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ascii="Arial Narrow" w:eastAsia="Times New Roman" w:hAnsi="Arial Narrow" w:cs="Arial"/>
                <w:b/>
                <w:bCs/>
                <w:color w:val="000000" w:themeColor="text1"/>
                <w:kern w:val="24"/>
                <w:sz w:val="28"/>
                <w:szCs w:val="28"/>
              </w:rPr>
              <w:lastRenderedPageBreak/>
              <w:t>Mechanism</w:t>
            </w:r>
          </w:p>
        </w:tc>
        <w:tc>
          <w:tcPr>
            <w:tcW w:w="6300" w:type="dxa"/>
            <w:tcBorders>
              <w:top w:val="single" w:sz="8" w:space="0" w:color="333399"/>
              <w:left w:val="nil"/>
              <w:bottom w:val="single" w:sz="8" w:space="0" w:color="333399"/>
              <w:right w:val="nil"/>
            </w:tcBorders>
            <w:shd w:val="clear" w:color="auto" w:fill="auto"/>
            <w:tcMar>
              <w:top w:w="72" w:type="dxa"/>
              <w:left w:w="131" w:type="dxa"/>
              <w:bottom w:w="72" w:type="dxa"/>
              <w:right w:w="131"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ascii="Arial Narrow" w:eastAsia="Times New Roman" w:hAnsi="Arial Narrow" w:cs="Arial"/>
                <w:b/>
                <w:bCs/>
                <w:color w:val="000000" w:themeColor="text1"/>
                <w:kern w:val="24"/>
                <w:sz w:val="28"/>
                <w:szCs w:val="28"/>
              </w:rPr>
              <w:t>Definition/Overview</w:t>
            </w:r>
          </w:p>
        </w:tc>
      </w:tr>
      <w:tr w:rsidR="00635D6A" w:rsidRPr="00635D6A" w:rsidTr="00635D6A">
        <w:trPr>
          <w:trHeight w:val="2160"/>
        </w:trPr>
        <w:tc>
          <w:tcPr>
            <w:tcW w:w="6300" w:type="dxa"/>
            <w:tcBorders>
              <w:top w:val="single" w:sz="8" w:space="0" w:color="333399"/>
              <w:left w:val="nil"/>
              <w:bottom w:val="nil"/>
              <w:right w:val="nil"/>
            </w:tcBorders>
            <w:shd w:val="clear" w:color="auto" w:fill="E8E8EF"/>
            <w:tcMar>
              <w:top w:w="72" w:type="dxa"/>
              <w:left w:w="131" w:type="dxa"/>
              <w:bottom w:w="72" w:type="dxa"/>
              <w:right w:w="131"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eastAsiaTheme="minorEastAsia" w:hAnsi="Arial Narrow"/>
                <w:b/>
                <w:bCs/>
                <w:color w:val="000000" w:themeColor="text1"/>
                <w:kern w:val="24"/>
                <w:sz w:val="28"/>
                <w:szCs w:val="28"/>
              </w:rPr>
              <w:t>Programming Access/Eligibility</w:t>
            </w:r>
          </w:p>
          <w:p w:rsidR="00635D6A" w:rsidRPr="00635D6A" w:rsidRDefault="00635D6A" w:rsidP="00635D6A">
            <w:pPr>
              <w:spacing w:after="0" w:line="240" w:lineRule="auto"/>
              <w:rPr>
                <w:rFonts w:ascii="Arial" w:eastAsia="Times New Roman" w:hAnsi="Arial" w:cs="Arial"/>
                <w:sz w:val="36"/>
                <w:szCs w:val="36"/>
              </w:rPr>
            </w:pPr>
            <w:r w:rsidRPr="00635D6A">
              <w:rPr>
                <w:rFonts w:eastAsiaTheme="minorEastAsia" w:hAnsi="Arial Narrow"/>
                <w:color w:val="000000" w:themeColor="text1"/>
                <w:kern w:val="24"/>
                <w:sz w:val="28"/>
                <w:szCs w:val="28"/>
              </w:rPr>
              <w:t> </w:t>
            </w:r>
          </w:p>
        </w:tc>
        <w:tc>
          <w:tcPr>
            <w:tcW w:w="6300" w:type="dxa"/>
            <w:tcBorders>
              <w:top w:val="single" w:sz="8" w:space="0" w:color="333399"/>
              <w:left w:val="nil"/>
              <w:bottom w:val="nil"/>
              <w:right w:val="nil"/>
            </w:tcBorders>
            <w:shd w:val="clear" w:color="auto" w:fill="E8E8EF"/>
            <w:tcMar>
              <w:top w:w="72" w:type="dxa"/>
              <w:left w:w="131" w:type="dxa"/>
              <w:bottom w:w="72" w:type="dxa"/>
              <w:right w:w="131"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eastAsiaTheme="minorEastAsia" w:hAnsi="Arial Narrow"/>
                <w:b/>
                <w:bCs/>
                <w:color w:val="000000" w:themeColor="text1"/>
                <w:kern w:val="24"/>
                <w:sz w:val="28"/>
                <w:szCs w:val="28"/>
              </w:rPr>
              <w:t>Access to some forms of behavioral health or substance use treatment is often contingent on medical insurance coverage. That coverage is, in turn, often contingent on economic circumstances, which places many minority families at a disadvantage in obtaining such services.</w:t>
            </w:r>
          </w:p>
        </w:tc>
      </w:tr>
      <w:tr w:rsidR="00635D6A" w:rsidRPr="00635D6A" w:rsidTr="00635D6A">
        <w:trPr>
          <w:trHeight w:val="2016"/>
        </w:trPr>
        <w:tc>
          <w:tcPr>
            <w:tcW w:w="6300" w:type="dxa"/>
            <w:tcBorders>
              <w:top w:val="nil"/>
              <w:left w:val="nil"/>
              <w:bottom w:val="nil"/>
              <w:right w:val="nil"/>
            </w:tcBorders>
            <w:shd w:val="clear" w:color="auto" w:fill="auto"/>
            <w:tcMar>
              <w:top w:w="72" w:type="dxa"/>
              <w:left w:w="131" w:type="dxa"/>
              <w:bottom w:w="72" w:type="dxa"/>
              <w:right w:w="131"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eastAsiaTheme="minorEastAsia" w:hAnsi="Arial Narrow"/>
                <w:b/>
                <w:bCs/>
                <w:color w:val="000000" w:themeColor="text1"/>
                <w:kern w:val="24"/>
                <w:sz w:val="28"/>
                <w:szCs w:val="28"/>
              </w:rPr>
              <w:t>Access</w:t>
            </w:r>
          </w:p>
        </w:tc>
        <w:tc>
          <w:tcPr>
            <w:tcW w:w="6300" w:type="dxa"/>
            <w:tcBorders>
              <w:top w:val="nil"/>
              <w:left w:val="nil"/>
              <w:bottom w:val="nil"/>
              <w:right w:val="nil"/>
            </w:tcBorders>
            <w:shd w:val="clear" w:color="auto" w:fill="auto"/>
            <w:tcMar>
              <w:top w:w="15" w:type="dxa"/>
              <w:left w:w="99" w:type="dxa"/>
              <w:bottom w:w="0" w:type="dxa"/>
              <w:right w:w="99"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eastAsiaTheme="minorEastAsia" w:hAnsi="Arial Narrow"/>
                <w:b/>
                <w:bCs/>
                <w:color w:val="000000" w:themeColor="text1"/>
                <w:kern w:val="24"/>
                <w:sz w:val="28"/>
                <w:szCs w:val="28"/>
              </w:rPr>
              <w:t>May be limited by geography, hours of operation, or other means. For example, if a program is located in an area of a community that is not accessible through public transportation, the unintended outcome may be that only families who have access to private automobiles may participate.</w:t>
            </w:r>
          </w:p>
        </w:tc>
      </w:tr>
      <w:tr w:rsidR="00635D6A" w:rsidRPr="00635D6A" w:rsidTr="00635D6A">
        <w:trPr>
          <w:trHeight w:val="1824"/>
        </w:trPr>
        <w:tc>
          <w:tcPr>
            <w:tcW w:w="6300" w:type="dxa"/>
            <w:tcBorders>
              <w:top w:val="nil"/>
              <w:left w:val="nil"/>
              <w:bottom w:val="single" w:sz="8" w:space="0" w:color="333399"/>
              <w:right w:val="nil"/>
            </w:tcBorders>
            <w:shd w:val="clear" w:color="auto" w:fill="E8E8EF"/>
            <w:tcMar>
              <w:top w:w="72" w:type="dxa"/>
              <w:left w:w="131" w:type="dxa"/>
              <w:bottom w:w="72" w:type="dxa"/>
              <w:right w:w="131"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eastAsiaTheme="minorEastAsia" w:hAnsi="Arial Narrow"/>
                <w:b/>
                <w:bCs/>
                <w:color w:val="000000" w:themeColor="text1"/>
                <w:kern w:val="24"/>
                <w:sz w:val="28"/>
                <w:szCs w:val="28"/>
              </w:rPr>
              <w:t>Eligibility</w:t>
            </w:r>
          </w:p>
        </w:tc>
        <w:tc>
          <w:tcPr>
            <w:tcW w:w="6300" w:type="dxa"/>
            <w:tcBorders>
              <w:top w:val="nil"/>
              <w:left w:val="nil"/>
              <w:bottom w:val="single" w:sz="8" w:space="0" w:color="333399"/>
              <w:right w:val="nil"/>
            </w:tcBorders>
            <w:shd w:val="clear" w:color="auto" w:fill="E8E8EF"/>
            <w:tcMar>
              <w:top w:w="72" w:type="dxa"/>
              <w:left w:w="131" w:type="dxa"/>
              <w:bottom w:w="72" w:type="dxa"/>
              <w:right w:w="131"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eastAsiaTheme="minorEastAsia" w:hAnsi="Arial Narrow"/>
                <w:b/>
                <w:bCs/>
                <w:color w:val="000000" w:themeColor="text1"/>
                <w:kern w:val="24"/>
                <w:sz w:val="28"/>
                <w:szCs w:val="28"/>
              </w:rPr>
              <w:t>May be used in many programs to define a set of youth most likely to benefit from the program or to exclude those youth that program leaders believe will likely disrupt the program or otherwise be less likely to benefit from the program resources.</w:t>
            </w:r>
          </w:p>
        </w:tc>
      </w:tr>
    </w:tbl>
    <w:p w:rsidR="00635D6A" w:rsidRDefault="00635D6A"/>
    <w:p w:rsidR="00635D6A" w:rsidRDefault="00635D6A">
      <w:r>
        <w:br w:type="page"/>
      </w:r>
    </w:p>
    <w:tbl>
      <w:tblPr>
        <w:tblW w:w="12600" w:type="dxa"/>
        <w:tblCellMar>
          <w:left w:w="0" w:type="dxa"/>
          <w:right w:w="0" w:type="dxa"/>
        </w:tblCellMar>
        <w:tblLook w:val="0420" w:firstRow="1" w:lastRow="0" w:firstColumn="0" w:lastColumn="0" w:noHBand="0" w:noVBand="1"/>
      </w:tblPr>
      <w:tblGrid>
        <w:gridCol w:w="6360"/>
        <w:gridCol w:w="6240"/>
      </w:tblGrid>
      <w:tr w:rsidR="00635D6A" w:rsidRPr="00635D6A" w:rsidTr="00635D6A">
        <w:trPr>
          <w:trHeight w:val="500"/>
        </w:trPr>
        <w:tc>
          <w:tcPr>
            <w:tcW w:w="6360" w:type="dxa"/>
            <w:tcBorders>
              <w:top w:val="single" w:sz="8" w:space="0" w:color="333399"/>
              <w:left w:val="nil"/>
              <w:bottom w:val="single" w:sz="8" w:space="0" w:color="333399"/>
              <w:right w:val="nil"/>
            </w:tcBorders>
            <w:shd w:val="clear" w:color="auto" w:fill="auto"/>
            <w:tcMar>
              <w:top w:w="72" w:type="dxa"/>
              <w:left w:w="131" w:type="dxa"/>
              <w:bottom w:w="72" w:type="dxa"/>
              <w:right w:w="131"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ascii="Arial Narrow" w:eastAsia="Times New Roman" w:hAnsi="Arial Narrow" w:cs="Arial"/>
                <w:b/>
                <w:bCs/>
                <w:color w:val="000000" w:themeColor="text1"/>
                <w:kern w:val="24"/>
                <w:sz w:val="28"/>
                <w:szCs w:val="28"/>
              </w:rPr>
              <w:lastRenderedPageBreak/>
              <w:t>Mechanism</w:t>
            </w:r>
          </w:p>
        </w:tc>
        <w:tc>
          <w:tcPr>
            <w:tcW w:w="6240" w:type="dxa"/>
            <w:tcBorders>
              <w:top w:val="single" w:sz="8" w:space="0" w:color="333399"/>
              <w:left w:val="nil"/>
              <w:bottom w:val="single" w:sz="8" w:space="0" w:color="333399"/>
              <w:right w:val="nil"/>
            </w:tcBorders>
            <w:shd w:val="clear" w:color="auto" w:fill="auto"/>
            <w:tcMar>
              <w:top w:w="72" w:type="dxa"/>
              <w:left w:w="131" w:type="dxa"/>
              <w:bottom w:w="72" w:type="dxa"/>
              <w:right w:w="131"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ascii="Arial Narrow" w:eastAsia="Times New Roman" w:hAnsi="Arial Narrow" w:cs="Arial"/>
                <w:b/>
                <w:bCs/>
                <w:color w:val="000000" w:themeColor="text1"/>
                <w:kern w:val="24"/>
                <w:sz w:val="28"/>
                <w:szCs w:val="28"/>
              </w:rPr>
              <w:t>Definition/Overview</w:t>
            </w:r>
          </w:p>
        </w:tc>
      </w:tr>
      <w:tr w:rsidR="00635D6A" w:rsidRPr="00635D6A" w:rsidTr="00635D6A">
        <w:trPr>
          <w:trHeight w:val="1488"/>
        </w:trPr>
        <w:tc>
          <w:tcPr>
            <w:tcW w:w="6360" w:type="dxa"/>
            <w:tcBorders>
              <w:top w:val="single" w:sz="8" w:space="0" w:color="333399"/>
              <w:left w:val="nil"/>
              <w:bottom w:val="nil"/>
              <w:right w:val="nil"/>
            </w:tcBorders>
            <w:shd w:val="clear" w:color="auto" w:fill="E8E8EF"/>
            <w:tcMar>
              <w:top w:w="72" w:type="dxa"/>
              <w:left w:w="131" w:type="dxa"/>
              <w:bottom w:w="72" w:type="dxa"/>
              <w:right w:w="131"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eastAsiaTheme="minorEastAsia" w:hAnsi="Arial Narrow"/>
                <w:b/>
                <w:bCs/>
                <w:color w:val="000000" w:themeColor="text1"/>
                <w:kern w:val="24"/>
                <w:sz w:val="28"/>
                <w:szCs w:val="28"/>
              </w:rPr>
              <w:t>Implementation</w:t>
            </w:r>
          </w:p>
        </w:tc>
        <w:tc>
          <w:tcPr>
            <w:tcW w:w="6240" w:type="dxa"/>
            <w:tcBorders>
              <w:top w:val="single" w:sz="8" w:space="0" w:color="333399"/>
              <w:left w:val="nil"/>
              <w:bottom w:val="nil"/>
              <w:right w:val="nil"/>
            </w:tcBorders>
            <w:shd w:val="clear" w:color="auto" w:fill="E8E8EF"/>
            <w:tcMar>
              <w:top w:w="72" w:type="dxa"/>
              <w:left w:w="131" w:type="dxa"/>
              <w:bottom w:w="72" w:type="dxa"/>
              <w:right w:w="131"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eastAsiaTheme="minorEastAsia" w:hAnsi="Arial Narrow"/>
                <w:b/>
                <w:bCs/>
                <w:color w:val="000000" w:themeColor="text1"/>
                <w:kern w:val="24"/>
                <w:sz w:val="28"/>
                <w:szCs w:val="28"/>
              </w:rPr>
              <w:t>For example, the physical tone of a facility may be inviting or discouraging, may indicate an appreciation of multiple cultures, or may be sterile and institutional.</w:t>
            </w:r>
          </w:p>
        </w:tc>
      </w:tr>
      <w:tr w:rsidR="00635D6A" w:rsidRPr="00635D6A" w:rsidTr="00635D6A">
        <w:trPr>
          <w:trHeight w:val="1457"/>
        </w:trPr>
        <w:tc>
          <w:tcPr>
            <w:tcW w:w="6360" w:type="dxa"/>
            <w:tcBorders>
              <w:top w:val="nil"/>
              <w:left w:val="nil"/>
              <w:bottom w:val="nil"/>
              <w:right w:val="nil"/>
            </w:tcBorders>
            <w:shd w:val="clear" w:color="auto" w:fill="auto"/>
            <w:tcMar>
              <w:top w:w="72" w:type="dxa"/>
              <w:left w:w="131" w:type="dxa"/>
              <w:bottom w:w="72" w:type="dxa"/>
              <w:right w:w="131"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eastAsiaTheme="minorEastAsia" w:hAnsi="Arial Narrow"/>
                <w:b/>
                <w:bCs/>
                <w:color w:val="000000" w:themeColor="text1"/>
                <w:kern w:val="24"/>
                <w:sz w:val="28"/>
                <w:szCs w:val="28"/>
              </w:rPr>
              <w:t>Effectiveness</w:t>
            </w:r>
          </w:p>
        </w:tc>
        <w:tc>
          <w:tcPr>
            <w:tcW w:w="6240" w:type="dxa"/>
            <w:tcBorders>
              <w:top w:val="nil"/>
              <w:left w:val="nil"/>
              <w:bottom w:val="nil"/>
              <w:right w:val="nil"/>
            </w:tcBorders>
            <w:shd w:val="clear" w:color="auto" w:fill="auto"/>
            <w:tcMar>
              <w:top w:w="15" w:type="dxa"/>
              <w:left w:w="99" w:type="dxa"/>
              <w:bottom w:w="0" w:type="dxa"/>
              <w:right w:w="99"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eastAsiaTheme="minorEastAsia" w:hAnsi="Arial Narrow"/>
                <w:b/>
                <w:bCs/>
                <w:color w:val="000000" w:themeColor="text1"/>
                <w:kern w:val="24"/>
                <w:sz w:val="28"/>
                <w:szCs w:val="28"/>
              </w:rPr>
              <w:t>The capability to achieve intended outcomes. Many prevention or treatment programs have been developed initially with a particular group of youth in mind, often white youth.</w:t>
            </w:r>
          </w:p>
        </w:tc>
      </w:tr>
      <w:tr w:rsidR="00635D6A" w:rsidRPr="00635D6A" w:rsidTr="00635D6A">
        <w:trPr>
          <w:trHeight w:val="1488"/>
        </w:trPr>
        <w:tc>
          <w:tcPr>
            <w:tcW w:w="6360" w:type="dxa"/>
            <w:tcBorders>
              <w:top w:val="nil"/>
              <w:left w:val="nil"/>
              <w:bottom w:val="nil"/>
              <w:right w:val="nil"/>
            </w:tcBorders>
            <w:shd w:val="clear" w:color="auto" w:fill="E8E8EF"/>
            <w:tcMar>
              <w:top w:w="72" w:type="dxa"/>
              <w:left w:w="131" w:type="dxa"/>
              <w:bottom w:w="72" w:type="dxa"/>
              <w:right w:w="131"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eastAsiaTheme="minorEastAsia" w:hAnsi="Arial Narrow"/>
                <w:b/>
                <w:bCs/>
                <w:color w:val="000000" w:themeColor="text1"/>
                <w:kern w:val="24"/>
                <w:sz w:val="28"/>
                <w:szCs w:val="28"/>
              </w:rPr>
              <w:t>Differential Processing or Inappropriate Decision making Criteria</w:t>
            </w:r>
          </w:p>
        </w:tc>
        <w:tc>
          <w:tcPr>
            <w:tcW w:w="6240" w:type="dxa"/>
            <w:tcBorders>
              <w:top w:val="nil"/>
              <w:left w:val="nil"/>
              <w:bottom w:val="nil"/>
              <w:right w:val="nil"/>
            </w:tcBorders>
            <w:shd w:val="clear" w:color="auto" w:fill="E8E8EF"/>
            <w:tcMar>
              <w:top w:w="72" w:type="dxa"/>
              <w:left w:w="131" w:type="dxa"/>
              <w:bottom w:w="72" w:type="dxa"/>
              <w:right w:w="131"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eastAsiaTheme="minorEastAsia" w:hAnsi="Arial Narrow"/>
                <w:b/>
                <w:bCs/>
                <w:color w:val="000000" w:themeColor="text1"/>
                <w:kern w:val="24"/>
                <w:sz w:val="28"/>
                <w:szCs w:val="28"/>
              </w:rPr>
              <w:t>An issue in determining program eligibility, implementing diversion programs, and selecting alternative decision outcomes.</w:t>
            </w:r>
          </w:p>
        </w:tc>
      </w:tr>
      <w:tr w:rsidR="00635D6A" w:rsidRPr="00635D6A" w:rsidTr="00635D6A">
        <w:trPr>
          <w:trHeight w:val="1488"/>
        </w:trPr>
        <w:tc>
          <w:tcPr>
            <w:tcW w:w="6360" w:type="dxa"/>
            <w:tcBorders>
              <w:top w:val="nil"/>
              <w:left w:val="nil"/>
              <w:bottom w:val="single" w:sz="8" w:space="0" w:color="333399"/>
              <w:right w:val="nil"/>
            </w:tcBorders>
            <w:shd w:val="clear" w:color="auto" w:fill="auto"/>
            <w:tcMar>
              <w:top w:w="15" w:type="dxa"/>
              <w:left w:w="99" w:type="dxa"/>
              <w:bottom w:w="0" w:type="dxa"/>
              <w:right w:w="99"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eastAsia="Times New Roman" w:hAnsi="Arial Narrow" w:cs="Arial"/>
                <w:b/>
                <w:bCs/>
                <w:color w:val="000000"/>
                <w:kern w:val="24"/>
                <w:sz w:val="28"/>
                <w:szCs w:val="28"/>
              </w:rPr>
              <w:t>Justice by geography</w:t>
            </w:r>
          </w:p>
        </w:tc>
        <w:tc>
          <w:tcPr>
            <w:tcW w:w="6240" w:type="dxa"/>
            <w:tcBorders>
              <w:top w:val="nil"/>
              <w:left w:val="nil"/>
              <w:bottom w:val="single" w:sz="8" w:space="0" w:color="333399"/>
              <w:right w:val="nil"/>
            </w:tcBorders>
            <w:shd w:val="clear" w:color="auto" w:fill="auto"/>
            <w:tcMar>
              <w:top w:w="72" w:type="dxa"/>
              <w:left w:w="131" w:type="dxa"/>
              <w:bottom w:w="72" w:type="dxa"/>
              <w:right w:w="131"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eastAsiaTheme="minorEastAsia" w:hAnsi="Arial Narrow"/>
                <w:b/>
                <w:bCs/>
                <w:color w:val="000000" w:themeColor="text1"/>
                <w:kern w:val="24"/>
                <w:sz w:val="28"/>
                <w:szCs w:val="28"/>
              </w:rPr>
              <w:t>The concept that youth in general, and minority youth in particular, may be processed or handled differently in one jurisdiction than in another within the same state.</w:t>
            </w:r>
          </w:p>
        </w:tc>
      </w:tr>
    </w:tbl>
    <w:p w:rsidR="00635D6A" w:rsidRDefault="00635D6A"/>
    <w:p w:rsidR="00635D6A" w:rsidRDefault="00635D6A">
      <w:r>
        <w:br w:type="page"/>
      </w:r>
    </w:p>
    <w:tbl>
      <w:tblPr>
        <w:tblW w:w="13320" w:type="dxa"/>
        <w:tblCellMar>
          <w:left w:w="0" w:type="dxa"/>
          <w:right w:w="0" w:type="dxa"/>
        </w:tblCellMar>
        <w:tblLook w:val="0420" w:firstRow="1" w:lastRow="0" w:firstColumn="0" w:lastColumn="0" w:noHBand="0" w:noVBand="1"/>
      </w:tblPr>
      <w:tblGrid>
        <w:gridCol w:w="6660"/>
        <w:gridCol w:w="6660"/>
      </w:tblGrid>
      <w:tr w:rsidR="00635D6A" w:rsidRPr="00635D6A" w:rsidTr="00635D6A">
        <w:trPr>
          <w:trHeight w:val="558"/>
        </w:trPr>
        <w:tc>
          <w:tcPr>
            <w:tcW w:w="6660" w:type="dxa"/>
            <w:tcBorders>
              <w:top w:val="single" w:sz="8" w:space="0" w:color="333399"/>
              <w:left w:val="nil"/>
              <w:bottom w:val="single" w:sz="8" w:space="0" w:color="333399"/>
              <w:right w:val="nil"/>
            </w:tcBorders>
            <w:shd w:val="clear" w:color="auto" w:fill="auto"/>
            <w:tcMar>
              <w:top w:w="72" w:type="dxa"/>
              <w:left w:w="131" w:type="dxa"/>
              <w:bottom w:w="72" w:type="dxa"/>
              <w:right w:w="131"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ascii="Arial Narrow" w:eastAsia="Times New Roman" w:hAnsi="Arial Narrow" w:cs="Arial"/>
                <w:b/>
                <w:bCs/>
                <w:color w:val="000000" w:themeColor="text1"/>
                <w:kern w:val="24"/>
                <w:sz w:val="28"/>
                <w:szCs w:val="28"/>
              </w:rPr>
              <w:lastRenderedPageBreak/>
              <w:t>Mechanism</w:t>
            </w:r>
          </w:p>
        </w:tc>
        <w:tc>
          <w:tcPr>
            <w:tcW w:w="6660" w:type="dxa"/>
            <w:tcBorders>
              <w:top w:val="single" w:sz="8" w:space="0" w:color="333399"/>
              <w:left w:val="nil"/>
              <w:bottom w:val="single" w:sz="8" w:space="0" w:color="333399"/>
              <w:right w:val="nil"/>
            </w:tcBorders>
            <w:shd w:val="clear" w:color="auto" w:fill="auto"/>
            <w:tcMar>
              <w:top w:w="72" w:type="dxa"/>
              <w:left w:w="131" w:type="dxa"/>
              <w:bottom w:w="72" w:type="dxa"/>
              <w:right w:w="131"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ascii="Arial Narrow" w:eastAsia="Times New Roman" w:hAnsi="Arial Narrow" w:cs="Arial"/>
                <w:b/>
                <w:bCs/>
                <w:color w:val="000000" w:themeColor="text1"/>
                <w:kern w:val="24"/>
                <w:sz w:val="28"/>
                <w:szCs w:val="28"/>
              </w:rPr>
              <w:t>Definition/Overview</w:t>
            </w:r>
          </w:p>
        </w:tc>
      </w:tr>
      <w:tr w:rsidR="00635D6A" w:rsidRPr="00635D6A" w:rsidTr="00635D6A">
        <w:trPr>
          <w:trHeight w:val="1824"/>
        </w:trPr>
        <w:tc>
          <w:tcPr>
            <w:tcW w:w="6660" w:type="dxa"/>
            <w:tcBorders>
              <w:top w:val="single" w:sz="8" w:space="0" w:color="333399"/>
              <w:left w:val="nil"/>
              <w:bottom w:val="nil"/>
              <w:right w:val="nil"/>
            </w:tcBorders>
            <w:shd w:val="clear" w:color="auto" w:fill="E8E8EF"/>
            <w:tcMar>
              <w:top w:w="72" w:type="dxa"/>
              <w:left w:w="131" w:type="dxa"/>
              <w:bottom w:w="72" w:type="dxa"/>
              <w:right w:w="131"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eastAsiaTheme="minorEastAsia" w:hAnsi="Arial Narrow"/>
                <w:b/>
                <w:bCs/>
                <w:color w:val="000000" w:themeColor="text1"/>
                <w:kern w:val="24"/>
                <w:sz w:val="28"/>
                <w:szCs w:val="28"/>
              </w:rPr>
              <w:t>Legislation, Policies, and Legal Factors</w:t>
            </w:r>
          </w:p>
        </w:tc>
        <w:tc>
          <w:tcPr>
            <w:tcW w:w="6660" w:type="dxa"/>
            <w:tcBorders>
              <w:top w:val="single" w:sz="8" w:space="0" w:color="333399"/>
              <w:left w:val="nil"/>
              <w:bottom w:val="nil"/>
              <w:right w:val="nil"/>
            </w:tcBorders>
            <w:shd w:val="clear" w:color="auto" w:fill="E8E8EF"/>
            <w:tcMar>
              <w:top w:w="72" w:type="dxa"/>
              <w:left w:w="131" w:type="dxa"/>
              <w:bottom w:w="72" w:type="dxa"/>
              <w:right w:w="131"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eastAsiaTheme="minorEastAsia" w:hAnsi="Arial Narrow"/>
                <w:b/>
                <w:bCs/>
                <w:color w:val="000000" w:themeColor="text1"/>
                <w:kern w:val="24"/>
                <w:sz w:val="28"/>
                <w:szCs w:val="28"/>
              </w:rPr>
              <w:t>Policies enacted through legislation or through administrative action may sometimes contain elements that create a disadvantage for minority youth.</w:t>
            </w:r>
          </w:p>
        </w:tc>
      </w:tr>
      <w:tr w:rsidR="00635D6A" w:rsidRPr="00635D6A" w:rsidTr="00635D6A">
        <w:trPr>
          <w:trHeight w:val="1392"/>
        </w:trPr>
        <w:tc>
          <w:tcPr>
            <w:tcW w:w="6660" w:type="dxa"/>
            <w:tcBorders>
              <w:top w:val="nil"/>
              <w:left w:val="nil"/>
              <w:bottom w:val="nil"/>
              <w:right w:val="nil"/>
            </w:tcBorders>
            <w:shd w:val="clear" w:color="auto" w:fill="auto"/>
            <w:tcMar>
              <w:top w:w="72" w:type="dxa"/>
              <w:left w:w="131" w:type="dxa"/>
              <w:bottom w:w="72" w:type="dxa"/>
              <w:right w:w="131"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eastAsiaTheme="minorEastAsia" w:hAnsi="Arial Narrow"/>
                <w:b/>
                <w:bCs/>
                <w:color w:val="000000" w:themeColor="text1"/>
                <w:kern w:val="24"/>
                <w:sz w:val="28"/>
                <w:szCs w:val="28"/>
              </w:rPr>
              <w:t>Simple Accumulation</w:t>
            </w:r>
          </w:p>
          <w:p w:rsidR="00635D6A" w:rsidRPr="00635D6A" w:rsidRDefault="00635D6A" w:rsidP="00635D6A">
            <w:pPr>
              <w:spacing w:after="0" w:line="240" w:lineRule="auto"/>
              <w:rPr>
                <w:rFonts w:ascii="Arial" w:eastAsia="Times New Roman" w:hAnsi="Arial" w:cs="Arial"/>
                <w:sz w:val="36"/>
                <w:szCs w:val="36"/>
              </w:rPr>
            </w:pPr>
            <w:r w:rsidRPr="00635D6A">
              <w:rPr>
                <w:rFonts w:eastAsiaTheme="minorEastAsia" w:hAnsi="Arial Narrow"/>
                <w:b/>
                <w:bCs/>
                <w:color w:val="000000" w:themeColor="text1"/>
                <w:kern w:val="24"/>
                <w:sz w:val="28"/>
                <w:szCs w:val="28"/>
              </w:rPr>
              <w:t> </w:t>
            </w:r>
          </w:p>
        </w:tc>
        <w:tc>
          <w:tcPr>
            <w:tcW w:w="6660" w:type="dxa"/>
            <w:tcBorders>
              <w:top w:val="nil"/>
              <w:left w:val="nil"/>
              <w:bottom w:val="nil"/>
              <w:right w:val="nil"/>
            </w:tcBorders>
            <w:shd w:val="clear" w:color="auto" w:fill="auto"/>
            <w:tcMar>
              <w:top w:w="15" w:type="dxa"/>
              <w:left w:w="99" w:type="dxa"/>
              <w:bottom w:w="0" w:type="dxa"/>
              <w:right w:w="99"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eastAsia="Times New Roman" w:hAnsi="Arial Narrow" w:cs="Arial"/>
                <w:b/>
                <w:bCs/>
                <w:color w:val="000000"/>
                <w:kern w:val="24"/>
                <w:sz w:val="28"/>
                <w:szCs w:val="28"/>
              </w:rPr>
              <w:t>There may be a higher rate of arrest for minority youth, followed by a lower rate of diversion, higher rates of formal processing as delinquent, etc.</w:t>
            </w:r>
          </w:p>
        </w:tc>
      </w:tr>
      <w:tr w:rsidR="00635D6A" w:rsidRPr="00635D6A" w:rsidTr="00635D6A">
        <w:trPr>
          <w:trHeight w:val="2266"/>
        </w:trPr>
        <w:tc>
          <w:tcPr>
            <w:tcW w:w="6660" w:type="dxa"/>
            <w:tcBorders>
              <w:top w:val="nil"/>
              <w:left w:val="nil"/>
              <w:bottom w:val="single" w:sz="8" w:space="0" w:color="333399"/>
              <w:right w:val="nil"/>
            </w:tcBorders>
            <w:shd w:val="clear" w:color="auto" w:fill="E8E8EF"/>
            <w:tcMar>
              <w:top w:w="72" w:type="dxa"/>
              <w:left w:w="131" w:type="dxa"/>
              <w:bottom w:w="72" w:type="dxa"/>
              <w:right w:w="131"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eastAsiaTheme="minorEastAsia" w:hAnsi="Arial Narrow"/>
                <w:b/>
                <w:bCs/>
                <w:color w:val="000000" w:themeColor="text1"/>
                <w:kern w:val="24"/>
                <w:sz w:val="28"/>
                <w:szCs w:val="28"/>
              </w:rPr>
              <w:t>Impacts On Later Decisions</w:t>
            </w:r>
          </w:p>
        </w:tc>
        <w:tc>
          <w:tcPr>
            <w:tcW w:w="6660" w:type="dxa"/>
            <w:tcBorders>
              <w:top w:val="nil"/>
              <w:left w:val="nil"/>
              <w:bottom w:val="single" w:sz="8" w:space="0" w:color="333399"/>
              <w:right w:val="nil"/>
            </w:tcBorders>
            <w:shd w:val="clear" w:color="auto" w:fill="E8E8EF"/>
            <w:tcMar>
              <w:top w:w="72" w:type="dxa"/>
              <w:left w:w="131" w:type="dxa"/>
              <w:bottom w:w="72" w:type="dxa"/>
              <w:right w:w="131" w:type="dxa"/>
            </w:tcMar>
            <w:hideMark/>
          </w:tcPr>
          <w:p w:rsidR="00635D6A" w:rsidRPr="00635D6A" w:rsidRDefault="00635D6A" w:rsidP="00635D6A">
            <w:pPr>
              <w:spacing w:after="0" w:line="240" w:lineRule="auto"/>
              <w:rPr>
                <w:rFonts w:ascii="Arial" w:eastAsia="Times New Roman" w:hAnsi="Arial" w:cs="Arial"/>
                <w:sz w:val="36"/>
                <w:szCs w:val="36"/>
              </w:rPr>
            </w:pPr>
            <w:r w:rsidRPr="00635D6A">
              <w:rPr>
                <w:rFonts w:eastAsiaTheme="minorEastAsia" w:hAnsi="Arial Narrow"/>
                <w:b/>
                <w:bCs/>
                <w:color w:val="000000" w:themeColor="text1"/>
                <w:kern w:val="24"/>
                <w:sz w:val="28"/>
                <w:szCs w:val="28"/>
              </w:rPr>
              <w:t>Another example where race and ethnicity may work indirectly through factors that influence decision making is the impact of earlier stages on later stages of the justice system, such as the impact of pre-adjudicatory detention.</w:t>
            </w:r>
          </w:p>
        </w:tc>
      </w:tr>
    </w:tbl>
    <w:p w:rsidR="00BF0048" w:rsidRDefault="00BF0048"/>
    <w:sectPr w:rsidR="00BF0048" w:rsidSect="00635D6A">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80" w:rsidRDefault="00AA7680" w:rsidP="00AA7680">
      <w:pPr>
        <w:spacing w:after="0" w:line="240" w:lineRule="auto"/>
      </w:pPr>
      <w:r>
        <w:separator/>
      </w:r>
    </w:p>
  </w:endnote>
  <w:endnote w:type="continuationSeparator" w:id="0">
    <w:p w:rsidR="00AA7680" w:rsidRDefault="00AA7680" w:rsidP="00AA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80" w:rsidRDefault="00AA7680" w:rsidP="00AA7680">
      <w:pPr>
        <w:spacing w:after="0" w:line="240" w:lineRule="auto"/>
      </w:pPr>
      <w:r>
        <w:separator/>
      </w:r>
    </w:p>
  </w:footnote>
  <w:footnote w:type="continuationSeparator" w:id="0">
    <w:p w:rsidR="00AA7680" w:rsidRDefault="00AA7680" w:rsidP="00AA7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D6A" w:rsidRPr="00635D6A" w:rsidRDefault="00635D6A" w:rsidP="00635D6A">
    <w:pPr>
      <w:pStyle w:val="Header"/>
      <w:jc w:val="center"/>
      <w:rPr>
        <w:rFonts w:ascii="Arial Narrow" w:hAnsi="Arial Narrow"/>
        <w:sz w:val="32"/>
        <w:szCs w:val="32"/>
      </w:rPr>
    </w:pPr>
    <w:r w:rsidRPr="00635D6A">
      <w:rPr>
        <w:rFonts w:ascii="Arial Narrow" w:hAnsi="Arial Narrow"/>
        <w:b/>
        <w:sz w:val="32"/>
        <w:szCs w:val="32"/>
      </w:rPr>
      <w:t>Mechanisms Leading to Disproportionate Minority Contact in the Juvenile Justice System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80"/>
    <w:rsid w:val="00635D6A"/>
    <w:rsid w:val="00AA7680"/>
    <w:rsid w:val="00BF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680"/>
  </w:style>
  <w:style w:type="paragraph" w:styleId="Footer">
    <w:name w:val="footer"/>
    <w:basedOn w:val="Normal"/>
    <w:link w:val="FooterChar"/>
    <w:uiPriority w:val="99"/>
    <w:unhideWhenUsed/>
    <w:rsid w:val="00AA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680"/>
  </w:style>
  <w:style w:type="paragraph" w:styleId="BalloonText">
    <w:name w:val="Balloon Text"/>
    <w:basedOn w:val="Normal"/>
    <w:link w:val="BalloonTextChar"/>
    <w:uiPriority w:val="99"/>
    <w:semiHidden/>
    <w:unhideWhenUsed/>
    <w:rsid w:val="00635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680"/>
  </w:style>
  <w:style w:type="paragraph" w:styleId="Footer">
    <w:name w:val="footer"/>
    <w:basedOn w:val="Normal"/>
    <w:link w:val="FooterChar"/>
    <w:uiPriority w:val="99"/>
    <w:unhideWhenUsed/>
    <w:rsid w:val="00AA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680"/>
  </w:style>
  <w:style w:type="paragraph" w:styleId="BalloonText">
    <w:name w:val="Balloon Text"/>
    <w:basedOn w:val="Normal"/>
    <w:link w:val="BalloonTextChar"/>
    <w:uiPriority w:val="99"/>
    <w:semiHidden/>
    <w:unhideWhenUsed/>
    <w:rsid w:val="00635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3357">
      <w:bodyDiv w:val="1"/>
      <w:marLeft w:val="0"/>
      <w:marRight w:val="0"/>
      <w:marTop w:val="0"/>
      <w:marBottom w:val="0"/>
      <w:divBdr>
        <w:top w:val="none" w:sz="0" w:space="0" w:color="auto"/>
        <w:left w:val="none" w:sz="0" w:space="0" w:color="auto"/>
        <w:bottom w:val="none" w:sz="0" w:space="0" w:color="auto"/>
        <w:right w:val="none" w:sz="0" w:space="0" w:color="auto"/>
      </w:divBdr>
    </w:div>
    <w:div w:id="554002253">
      <w:bodyDiv w:val="1"/>
      <w:marLeft w:val="0"/>
      <w:marRight w:val="0"/>
      <w:marTop w:val="0"/>
      <w:marBottom w:val="0"/>
      <w:divBdr>
        <w:top w:val="none" w:sz="0" w:space="0" w:color="auto"/>
        <w:left w:val="none" w:sz="0" w:space="0" w:color="auto"/>
        <w:bottom w:val="none" w:sz="0" w:space="0" w:color="auto"/>
        <w:right w:val="none" w:sz="0" w:space="0" w:color="auto"/>
      </w:divBdr>
    </w:div>
    <w:div w:id="1069578794">
      <w:bodyDiv w:val="1"/>
      <w:marLeft w:val="0"/>
      <w:marRight w:val="0"/>
      <w:marTop w:val="0"/>
      <w:marBottom w:val="0"/>
      <w:divBdr>
        <w:top w:val="none" w:sz="0" w:space="0" w:color="auto"/>
        <w:left w:val="none" w:sz="0" w:space="0" w:color="auto"/>
        <w:bottom w:val="none" w:sz="0" w:space="0" w:color="auto"/>
        <w:right w:val="none" w:sz="0" w:space="0" w:color="auto"/>
      </w:divBdr>
    </w:div>
    <w:div w:id="1119571676">
      <w:bodyDiv w:val="1"/>
      <w:marLeft w:val="0"/>
      <w:marRight w:val="0"/>
      <w:marTop w:val="0"/>
      <w:marBottom w:val="0"/>
      <w:divBdr>
        <w:top w:val="none" w:sz="0" w:space="0" w:color="auto"/>
        <w:left w:val="none" w:sz="0" w:space="0" w:color="auto"/>
        <w:bottom w:val="none" w:sz="0" w:space="0" w:color="auto"/>
        <w:right w:val="none" w:sz="0" w:space="0" w:color="auto"/>
      </w:divBdr>
    </w:div>
    <w:div w:id="1441796383">
      <w:bodyDiv w:val="1"/>
      <w:marLeft w:val="0"/>
      <w:marRight w:val="0"/>
      <w:marTop w:val="0"/>
      <w:marBottom w:val="0"/>
      <w:divBdr>
        <w:top w:val="none" w:sz="0" w:space="0" w:color="auto"/>
        <w:left w:val="none" w:sz="0" w:space="0" w:color="auto"/>
        <w:bottom w:val="none" w:sz="0" w:space="0" w:color="auto"/>
        <w:right w:val="none" w:sz="0" w:space="0" w:color="auto"/>
      </w:divBdr>
    </w:div>
    <w:div w:id="1645116837">
      <w:bodyDiv w:val="1"/>
      <w:marLeft w:val="0"/>
      <w:marRight w:val="0"/>
      <w:marTop w:val="0"/>
      <w:marBottom w:val="0"/>
      <w:divBdr>
        <w:top w:val="none" w:sz="0" w:space="0" w:color="auto"/>
        <w:left w:val="none" w:sz="0" w:space="0" w:color="auto"/>
        <w:bottom w:val="none" w:sz="0" w:space="0" w:color="auto"/>
        <w:right w:val="none" w:sz="0" w:space="0" w:color="auto"/>
      </w:divBdr>
    </w:div>
    <w:div w:id="20100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2014-01-24T19:48:00Z</dcterms:created>
  <dcterms:modified xsi:type="dcterms:W3CDTF">2014-01-24T20:17:00Z</dcterms:modified>
</cp:coreProperties>
</file>